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6047" w:type="dxa"/>
        <w:tblInd w:w="-743" w:type="dxa"/>
        <w:tblLayout w:type="fixed"/>
        <w:tblLook w:val="04A0"/>
      </w:tblPr>
      <w:tblGrid>
        <w:gridCol w:w="443"/>
        <w:gridCol w:w="1100"/>
        <w:gridCol w:w="1180"/>
        <w:gridCol w:w="963"/>
        <w:gridCol w:w="1021"/>
        <w:gridCol w:w="1128"/>
        <w:gridCol w:w="999"/>
        <w:gridCol w:w="992"/>
        <w:gridCol w:w="1276"/>
        <w:gridCol w:w="6945"/>
      </w:tblGrid>
      <w:tr w:rsidR="00302162" w:rsidRPr="00202825" w:rsidTr="00DF5E62">
        <w:trPr>
          <w:trHeight w:val="975"/>
        </w:trPr>
        <w:tc>
          <w:tcPr>
            <w:tcW w:w="443" w:type="dxa"/>
          </w:tcPr>
          <w:p w:rsidR="00302162" w:rsidRDefault="00302162" w:rsidP="00302162">
            <w:pPr>
              <w:jc w:val="both"/>
              <w:rPr>
                <w:sz w:val="16"/>
                <w:szCs w:val="16"/>
              </w:rPr>
            </w:pPr>
            <w:r>
              <w:rPr>
                <w:sz w:val="16"/>
                <w:szCs w:val="16"/>
              </w:rPr>
              <w:t>1</w:t>
            </w:r>
          </w:p>
        </w:tc>
        <w:tc>
          <w:tcPr>
            <w:tcW w:w="1100" w:type="dxa"/>
          </w:tcPr>
          <w:p w:rsidR="00302162" w:rsidRPr="00202825" w:rsidRDefault="00302162" w:rsidP="00302162">
            <w:pPr>
              <w:rPr>
                <w:sz w:val="16"/>
                <w:szCs w:val="16"/>
              </w:rPr>
            </w:pPr>
            <w:r>
              <w:rPr>
                <w:sz w:val="16"/>
                <w:szCs w:val="16"/>
              </w:rPr>
              <w:t>MLC, 2006</w:t>
            </w:r>
          </w:p>
        </w:tc>
        <w:tc>
          <w:tcPr>
            <w:tcW w:w="1180" w:type="dxa"/>
          </w:tcPr>
          <w:p w:rsidR="00302162" w:rsidRPr="00202825" w:rsidRDefault="00302162" w:rsidP="00302162">
            <w:pPr>
              <w:rPr>
                <w:sz w:val="16"/>
                <w:szCs w:val="16"/>
              </w:rPr>
            </w:pPr>
            <w:r w:rsidRPr="009B0FD8">
              <w:rPr>
                <w:sz w:val="16"/>
                <w:szCs w:val="16"/>
              </w:rPr>
              <w:t>The International Labour Conference</w:t>
            </w:r>
            <w:r>
              <w:rPr>
                <w:sz w:val="16"/>
                <w:szCs w:val="16"/>
              </w:rPr>
              <w:t xml:space="preserve">- </w:t>
            </w:r>
            <w:r w:rsidRPr="009B0FD8">
              <w:rPr>
                <w:sz w:val="16"/>
                <w:szCs w:val="16"/>
              </w:rPr>
              <w:t>110th session</w:t>
            </w:r>
          </w:p>
        </w:tc>
        <w:tc>
          <w:tcPr>
            <w:tcW w:w="963" w:type="dxa"/>
            <w:tcBorders>
              <w:left w:val="single" w:sz="6" w:space="0" w:color="6E6E6E"/>
              <w:bottom w:val="single" w:sz="6" w:space="0" w:color="6E6E6E"/>
            </w:tcBorders>
          </w:tcPr>
          <w:p w:rsidR="00302162" w:rsidRPr="00202825" w:rsidRDefault="00302162" w:rsidP="00302162">
            <w:pPr>
              <w:rPr>
                <w:sz w:val="16"/>
                <w:szCs w:val="16"/>
              </w:rPr>
            </w:pPr>
            <w:r w:rsidRPr="001652A8">
              <w:rPr>
                <w:sz w:val="16"/>
                <w:szCs w:val="16"/>
              </w:rPr>
              <w:t>All</w:t>
            </w:r>
          </w:p>
        </w:tc>
        <w:tc>
          <w:tcPr>
            <w:tcW w:w="1021" w:type="dxa"/>
            <w:tcBorders>
              <w:left w:val="single" w:sz="6" w:space="0" w:color="6E6E6E"/>
              <w:bottom w:val="single" w:sz="6" w:space="0" w:color="6E6E6E"/>
            </w:tcBorders>
          </w:tcPr>
          <w:p w:rsidR="00302162" w:rsidRPr="00202825" w:rsidRDefault="00302162" w:rsidP="00302162">
            <w:pPr>
              <w:rPr>
                <w:sz w:val="16"/>
                <w:szCs w:val="16"/>
              </w:rPr>
            </w:pPr>
            <w:r w:rsidRPr="001652A8">
              <w:rPr>
                <w:sz w:val="16"/>
                <w:szCs w:val="16"/>
              </w:rPr>
              <w:t>All</w:t>
            </w:r>
          </w:p>
        </w:tc>
        <w:tc>
          <w:tcPr>
            <w:tcW w:w="1128" w:type="dxa"/>
            <w:tcBorders>
              <w:left w:val="single" w:sz="6" w:space="0" w:color="6E6E6E"/>
              <w:bottom w:val="single" w:sz="6" w:space="0" w:color="6E6E6E"/>
            </w:tcBorders>
          </w:tcPr>
          <w:p w:rsidR="00302162" w:rsidRPr="00202825" w:rsidRDefault="00302162" w:rsidP="00302162">
            <w:pPr>
              <w:pStyle w:val="ListParagraph"/>
              <w:tabs>
                <w:tab w:val="left" w:pos="174"/>
              </w:tabs>
              <w:ind w:left="84"/>
              <w:rPr>
                <w:sz w:val="16"/>
                <w:szCs w:val="16"/>
              </w:rPr>
            </w:pPr>
            <w:r>
              <w:rPr>
                <w:sz w:val="16"/>
                <w:szCs w:val="16"/>
              </w:rPr>
              <w:t>23</w:t>
            </w:r>
            <w:r w:rsidRPr="001652A8">
              <w:rPr>
                <w:sz w:val="16"/>
                <w:szCs w:val="16"/>
              </w:rPr>
              <w:t xml:space="preserve"> </w:t>
            </w:r>
            <w:r>
              <w:rPr>
                <w:sz w:val="16"/>
                <w:szCs w:val="16"/>
              </w:rPr>
              <w:t>December</w:t>
            </w:r>
            <w:r w:rsidRPr="001652A8">
              <w:rPr>
                <w:sz w:val="16"/>
                <w:szCs w:val="16"/>
              </w:rPr>
              <w:t xml:space="preserve"> 2024</w:t>
            </w:r>
          </w:p>
        </w:tc>
        <w:tc>
          <w:tcPr>
            <w:tcW w:w="999" w:type="dxa"/>
            <w:tcBorders>
              <w:left w:val="single" w:sz="6" w:space="0" w:color="6E6E6E"/>
              <w:bottom w:val="single" w:sz="6" w:space="0" w:color="6E6E6E"/>
            </w:tcBorders>
          </w:tcPr>
          <w:p w:rsidR="00302162" w:rsidRPr="00202825" w:rsidRDefault="00302162" w:rsidP="00302162">
            <w:pPr>
              <w:rPr>
                <w:sz w:val="16"/>
                <w:szCs w:val="16"/>
              </w:rPr>
            </w:pPr>
            <w:r w:rsidRPr="001652A8">
              <w:rPr>
                <w:sz w:val="16"/>
                <w:szCs w:val="16"/>
              </w:rPr>
              <w:t>All</w:t>
            </w:r>
          </w:p>
        </w:tc>
        <w:tc>
          <w:tcPr>
            <w:tcW w:w="992" w:type="dxa"/>
            <w:tcBorders>
              <w:left w:val="single" w:sz="6" w:space="0" w:color="6E6E6E"/>
              <w:bottom w:val="single" w:sz="6" w:space="0" w:color="6E6E6E"/>
            </w:tcBorders>
          </w:tcPr>
          <w:p w:rsidR="00302162" w:rsidRPr="00202825" w:rsidRDefault="00302162" w:rsidP="00302162">
            <w:pPr>
              <w:rPr>
                <w:sz w:val="16"/>
                <w:szCs w:val="16"/>
              </w:rPr>
            </w:pPr>
            <w:r w:rsidRPr="001652A8">
              <w:rPr>
                <w:sz w:val="16"/>
                <w:szCs w:val="16"/>
              </w:rPr>
              <w:t>All</w:t>
            </w:r>
          </w:p>
        </w:tc>
        <w:tc>
          <w:tcPr>
            <w:tcW w:w="1276" w:type="dxa"/>
            <w:tcBorders>
              <w:left w:val="single" w:sz="6" w:space="0" w:color="6E6E6E"/>
              <w:bottom w:val="single" w:sz="6" w:space="0" w:color="6E6E6E"/>
            </w:tcBorders>
          </w:tcPr>
          <w:p w:rsidR="00302162" w:rsidRPr="00202825" w:rsidRDefault="00302162" w:rsidP="00302162">
            <w:pPr>
              <w:pStyle w:val="ListParagraph"/>
              <w:tabs>
                <w:tab w:val="left" w:pos="174"/>
              </w:tabs>
              <w:ind w:left="84"/>
              <w:rPr>
                <w:sz w:val="16"/>
                <w:szCs w:val="16"/>
              </w:rPr>
            </w:pPr>
            <w:r>
              <w:rPr>
                <w:sz w:val="16"/>
                <w:szCs w:val="16"/>
              </w:rPr>
              <w:t>23</w:t>
            </w:r>
            <w:r w:rsidRPr="001652A8">
              <w:rPr>
                <w:sz w:val="16"/>
                <w:szCs w:val="16"/>
              </w:rPr>
              <w:t xml:space="preserve"> </w:t>
            </w:r>
            <w:r>
              <w:rPr>
                <w:sz w:val="16"/>
                <w:szCs w:val="16"/>
              </w:rPr>
              <w:t>December</w:t>
            </w:r>
            <w:r w:rsidRPr="001652A8">
              <w:rPr>
                <w:sz w:val="16"/>
                <w:szCs w:val="16"/>
              </w:rPr>
              <w:t xml:space="preserve"> 2024</w:t>
            </w:r>
          </w:p>
        </w:tc>
        <w:tc>
          <w:tcPr>
            <w:tcW w:w="6945" w:type="dxa"/>
          </w:tcPr>
          <w:p w:rsidR="00302162" w:rsidRDefault="00302162" w:rsidP="00302162">
            <w:pPr>
              <w:autoSpaceDE w:val="0"/>
              <w:autoSpaceDN w:val="0"/>
              <w:adjustRightInd w:val="0"/>
              <w:rPr>
                <w:rFonts w:eastAsia="TT15Ct00" w:cs="TT15Ct00"/>
                <w:b/>
                <w:sz w:val="16"/>
                <w:szCs w:val="16"/>
                <w:lang w:val="en-IN"/>
              </w:rPr>
            </w:pPr>
            <w:r>
              <w:rPr>
                <w:rFonts w:eastAsia="TT15Ct00" w:cs="TT15Ct00"/>
                <w:b/>
                <w:sz w:val="16"/>
                <w:szCs w:val="16"/>
                <w:lang w:val="en-IN"/>
              </w:rPr>
              <w:t>2022 Amendments to MLC, 2006:</w:t>
            </w:r>
          </w:p>
          <w:p w:rsidR="00302162" w:rsidRDefault="00302162" w:rsidP="00302162">
            <w:pPr>
              <w:autoSpaceDE w:val="0"/>
              <w:autoSpaceDN w:val="0"/>
              <w:adjustRightInd w:val="0"/>
              <w:jc w:val="both"/>
              <w:rPr>
                <w:rFonts w:eastAsia="TT15Ct00" w:cs="TT15Ct00"/>
                <w:sz w:val="16"/>
                <w:szCs w:val="16"/>
                <w:lang w:val="en-IN"/>
              </w:rPr>
            </w:pPr>
          </w:p>
          <w:p w:rsidR="00302162" w:rsidRDefault="00302162" w:rsidP="00302162">
            <w:pPr>
              <w:autoSpaceDE w:val="0"/>
              <w:autoSpaceDN w:val="0"/>
              <w:adjustRightInd w:val="0"/>
              <w:jc w:val="both"/>
              <w:rPr>
                <w:rFonts w:eastAsia="TT15Ct00" w:cs="TT15Ct00"/>
                <w:sz w:val="16"/>
                <w:szCs w:val="16"/>
                <w:lang w:val="en-IN"/>
              </w:rPr>
            </w:pPr>
            <w:r w:rsidRPr="006A3839">
              <w:rPr>
                <w:rFonts w:eastAsia="TT15Ct00" w:cs="TT15Ct00"/>
                <w:sz w:val="16"/>
                <w:szCs w:val="16"/>
                <w:lang w:val="en-IN"/>
              </w:rPr>
              <w:t>The 110</w:t>
            </w:r>
            <w:r w:rsidR="00D86194" w:rsidRPr="00D86194">
              <w:rPr>
                <w:rFonts w:eastAsia="TT15Ct00" w:cs="TT15Ct00"/>
                <w:sz w:val="16"/>
                <w:szCs w:val="16"/>
                <w:vertAlign w:val="superscript"/>
                <w:lang w:val="en-IN"/>
              </w:rPr>
              <w:t>th</w:t>
            </w:r>
            <w:r w:rsidR="00D86194">
              <w:rPr>
                <w:rFonts w:eastAsia="TT15Ct00" w:cs="TT15Ct00"/>
                <w:sz w:val="16"/>
                <w:szCs w:val="16"/>
                <w:lang w:val="en-IN"/>
              </w:rPr>
              <w:t xml:space="preserve"> S</w:t>
            </w:r>
            <w:r w:rsidRPr="006A3839">
              <w:rPr>
                <w:rFonts w:eastAsia="TT15Ct00" w:cs="TT15Ct00"/>
                <w:sz w:val="16"/>
                <w:szCs w:val="16"/>
                <w:lang w:val="en-IN"/>
              </w:rPr>
              <w:t xml:space="preserve">ession of the International Labour Conference held in June 2022 approved the amendments to Maritime Labour Convention (MLC), 2006 and will enter into force from </w:t>
            </w:r>
            <w:r w:rsidRPr="00485098">
              <w:rPr>
                <w:rFonts w:eastAsia="TT15Ct00" w:cs="TT15Ct00"/>
                <w:b/>
                <w:bCs/>
                <w:sz w:val="16"/>
                <w:szCs w:val="16"/>
                <w:lang w:val="en-IN"/>
              </w:rPr>
              <w:t>23 December 2024</w:t>
            </w:r>
            <w:r w:rsidRPr="006A3839">
              <w:rPr>
                <w:rFonts w:eastAsia="TT15Ct00" w:cs="TT15Ct00"/>
                <w:sz w:val="16"/>
                <w:szCs w:val="16"/>
                <w:lang w:val="en-IN"/>
              </w:rPr>
              <w:t>.</w:t>
            </w:r>
          </w:p>
          <w:p w:rsidR="00302162" w:rsidRDefault="00302162" w:rsidP="00302162">
            <w:pPr>
              <w:autoSpaceDE w:val="0"/>
              <w:autoSpaceDN w:val="0"/>
              <w:adjustRightInd w:val="0"/>
              <w:jc w:val="both"/>
              <w:rPr>
                <w:rFonts w:eastAsia="TT15Ct00" w:cs="TT15Ct00"/>
                <w:sz w:val="16"/>
                <w:szCs w:val="16"/>
              </w:rPr>
            </w:pPr>
          </w:p>
          <w:p w:rsidR="00302162" w:rsidRDefault="00302162" w:rsidP="00302162">
            <w:pPr>
              <w:autoSpaceDE w:val="0"/>
              <w:autoSpaceDN w:val="0"/>
              <w:adjustRightInd w:val="0"/>
              <w:jc w:val="both"/>
              <w:rPr>
                <w:rFonts w:eastAsia="TT15Ct00" w:cs="TT15Ct00"/>
                <w:sz w:val="16"/>
                <w:szCs w:val="16"/>
              </w:rPr>
            </w:pPr>
            <w:r w:rsidRPr="006A3839">
              <w:rPr>
                <w:rFonts w:eastAsia="TT15Ct00" w:cs="TT15Ct00"/>
                <w:sz w:val="16"/>
                <w:szCs w:val="16"/>
              </w:rPr>
              <w:t>The amendments cover seafarer welfare issues, such as:</w:t>
            </w:r>
          </w:p>
          <w:p w:rsidR="00302162" w:rsidRDefault="00302162" w:rsidP="00302162">
            <w:pPr>
              <w:autoSpaceDE w:val="0"/>
              <w:autoSpaceDN w:val="0"/>
              <w:adjustRightInd w:val="0"/>
              <w:jc w:val="both"/>
              <w:rPr>
                <w:rFonts w:eastAsia="TT15Ct00" w:cs="TT15Ct00"/>
                <w:sz w:val="16"/>
                <w:szCs w:val="16"/>
                <w:lang w:val="en-IN"/>
              </w:rPr>
            </w:pPr>
          </w:p>
          <w:p w:rsidR="00302162" w:rsidRPr="006A3839" w:rsidRDefault="00302162" w:rsidP="00302162">
            <w:pPr>
              <w:jc w:val="both"/>
              <w:rPr>
                <w:rFonts w:eastAsia="TT15Ct00" w:cs="TT15Ct00"/>
                <w:sz w:val="16"/>
                <w:szCs w:val="16"/>
              </w:rPr>
            </w:pPr>
            <w:r w:rsidRPr="006A3839">
              <w:rPr>
                <w:rFonts w:eastAsia="TT15Ct00" w:cs="TT15Ct00"/>
                <w:sz w:val="16"/>
                <w:szCs w:val="16"/>
              </w:rPr>
              <w:sym w:font="Symbol" w:char="F0B7"/>
            </w:r>
            <w:r w:rsidRPr="006A3839">
              <w:rPr>
                <w:rFonts w:eastAsia="TT15Ct00" w:cs="TT15Ct00"/>
                <w:sz w:val="16"/>
                <w:szCs w:val="16"/>
              </w:rPr>
              <w:t xml:space="preserve"> Social connectivity, including guidance to shipowners on providing internet access; </w:t>
            </w:r>
          </w:p>
          <w:p w:rsidR="00302162" w:rsidRPr="006A3839" w:rsidRDefault="00302162" w:rsidP="00302162">
            <w:pPr>
              <w:jc w:val="both"/>
              <w:rPr>
                <w:rFonts w:eastAsia="TT15Ct00" w:cs="TT15Ct00"/>
                <w:sz w:val="16"/>
                <w:szCs w:val="16"/>
              </w:rPr>
            </w:pPr>
            <w:r w:rsidRPr="006A3839">
              <w:rPr>
                <w:rFonts w:eastAsia="TT15Ct00" w:cs="TT15Ct00"/>
                <w:sz w:val="16"/>
                <w:szCs w:val="16"/>
              </w:rPr>
              <w:sym w:font="Symbol" w:char="F0B7"/>
            </w:r>
            <w:r w:rsidRPr="006A3839">
              <w:rPr>
                <w:rFonts w:eastAsia="TT15Ct00" w:cs="TT15Ct00"/>
                <w:sz w:val="16"/>
                <w:szCs w:val="16"/>
              </w:rPr>
              <w:t xml:space="preserve"> Ensuring that seafarers are informed of their rights prior to engagement; </w:t>
            </w:r>
          </w:p>
          <w:p w:rsidR="00302162" w:rsidRPr="006A3839" w:rsidRDefault="00302162" w:rsidP="00302162">
            <w:pPr>
              <w:jc w:val="both"/>
              <w:rPr>
                <w:rFonts w:eastAsia="TT15Ct00" w:cs="TT15Ct00"/>
                <w:sz w:val="16"/>
                <w:szCs w:val="16"/>
              </w:rPr>
            </w:pPr>
            <w:r w:rsidRPr="006A3839">
              <w:rPr>
                <w:rFonts w:eastAsia="TT15Ct00" w:cs="TT15Ct00"/>
                <w:sz w:val="16"/>
                <w:szCs w:val="16"/>
              </w:rPr>
              <w:sym w:font="Symbol" w:char="F0B7"/>
            </w:r>
            <w:r w:rsidRPr="006A3839">
              <w:rPr>
                <w:rFonts w:eastAsia="TT15Ct00" w:cs="TT15Ct00"/>
                <w:sz w:val="16"/>
                <w:szCs w:val="16"/>
              </w:rPr>
              <w:t xml:space="preserve"> Requirements for balanced and nutritious meals; </w:t>
            </w:r>
          </w:p>
          <w:p w:rsidR="00302162" w:rsidRPr="006A3839" w:rsidRDefault="00302162" w:rsidP="00302162">
            <w:pPr>
              <w:jc w:val="both"/>
              <w:rPr>
                <w:rFonts w:eastAsia="TT15Ct00" w:cs="TT15Ct00"/>
                <w:sz w:val="16"/>
                <w:szCs w:val="16"/>
              </w:rPr>
            </w:pPr>
            <w:r w:rsidRPr="006A3839">
              <w:rPr>
                <w:rFonts w:eastAsia="TT15Ct00" w:cs="TT15Ct00"/>
                <w:sz w:val="16"/>
                <w:szCs w:val="16"/>
              </w:rPr>
              <w:sym w:font="Symbol" w:char="F0B7"/>
            </w:r>
            <w:r w:rsidRPr="006A3839">
              <w:rPr>
                <w:rFonts w:eastAsia="TT15Ct00" w:cs="TT15Ct00"/>
                <w:sz w:val="16"/>
                <w:szCs w:val="16"/>
              </w:rPr>
              <w:t xml:space="preserve"> Disembarkation for medical care; </w:t>
            </w:r>
          </w:p>
          <w:p w:rsidR="00302162" w:rsidRPr="006A3839" w:rsidRDefault="00302162" w:rsidP="00302162">
            <w:pPr>
              <w:jc w:val="both"/>
              <w:rPr>
                <w:rFonts w:eastAsia="TT15Ct00" w:cs="TT15Ct00"/>
                <w:sz w:val="16"/>
                <w:szCs w:val="16"/>
              </w:rPr>
            </w:pPr>
            <w:r w:rsidRPr="006A3839">
              <w:rPr>
                <w:rFonts w:eastAsia="TT15Ct00" w:cs="TT15Ct00"/>
                <w:sz w:val="16"/>
                <w:szCs w:val="16"/>
              </w:rPr>
              <w:sym w:font="Symbol" w:char="F0B7"/>
            </w:r>
            <w:r w:rsidRPr="006A3839">
              <w:rPr>
                <w:rFonts w:eastAsia="TT15Ct00" w:cs="TT15Ct00"/>
                <w:sz w:val="16"/>
                <w:szCs w:val="16"/>
              </w:rPr>
              <w:t xml:space="preserve"> Prompt repatriation, including of the deceased; and </w:t>
            </w:r>
          </w:p>
          <w:p w:rsidR="00302162" w:rsidRPr="006A3839" w:rsidRDefault="00302162" w:rsidP="00302162">
            <w:pPr>
              <w:jc w:val="both"/>
              <w:rPr>
                <w:rFonts w:eastAsia="TT15Ct00" w:cs="TT15Ct00"/>
                <w:sz w:val="16"/>
                <w:szCs w:val="16"/>
              </w:rPr>
            </w:pPr>
            <w:r w:rsidRPr="006A3839">
              <w:rPr>
                <w:rFonts w:eastAsia="TT15Ct00" w:cs="TT15Ct00"/>
                <w:sz w:val="16"/>
                <w:szCs w:val="16"/>
              </w:rPr>
              <w:sym w:font="Symbol" w:char="F0B7"/>
            </w:r>
            <w:r w:rsidRPr="006A3839">
              <w:rPr>
                <w:rFonts w:eastAsia="TT15Ct00" w:cs="TT15Ct00"/>
                <w:sz w:val="16"/>
                <w:szCs w:val="16"/>
              </w:rPr>
              <w:t xml:space="preserve"> Providing appropriately sized personal protective equipment.</w:t>
            </w:r>
          </w:p>
          <w:p w:rsidR="00302162" w:rsidRDefault="00302162" w:rsidP="00302162">
            <w:pPr>
              <w:jc w:val="both"/>
              <w:rPr>
                <w:rFonts w:eastAsia="TT15Ct00" w:cs="TT15Ct00"/>
                <w:sz w:val="16"/>
                <w:szCs w:val="16"/>
                <w:lang w:val="en-IN"/>
              </w:rPr>
            </w:pPr>
          </w:p>
          <w:p w:rsidR="00302162" w:rsidRPr="00A74354" w:rsidRDefault="00302162" w:rsidP="00302162">
            <w:pPr>
              <w:rPr>
                <w:sz w:val="16"/>
                <w:szCs w:val="16"/>
              </w:rPr>
            </w:pPr>
            <w:r w:rsidRPr="00A74354">
              <w:rPr>
                <w:sz w:val="16"/>
                <w:szCs w:val="16"/>
              </w:rPr>
              <w:t>The amendments also:</w:t>
            </w:r>
          </w:p>
          <w:p w:rsidR="00302162" w:rsidRDefault="00302162" w:rsidP="00302162">
            <w:pPr>
              <w:rPr>
                <w:b/>
                <w:bCs/>
                <w:sz w:val="16"/>
                <w:szCs w:val="16"/>
              </w:rPr>
            </w:pPr>
          </w:p>
          <w:p w:rsidR="00302162" w:rsidRDefault="00302162" w:rsidP="00485098">
            <w:pPr>
              <w:ind w:left="173" w:hanging="173"/>
              <w:jc w:val="both"/>
              <w:rPr>
                <w:rFonts w:eastAsia="TT15Ct00" w:cs="TT15Ct00"/>
                <w:sz w:val="16"/>
                <w:szCs w:val="16"/>
              </w:rPr>
            </w:pPr>
            <w:r w:rsidRPr="006A3839">
              <w:rPr>
                <w:rFonts w:eastAsia="TT15Ct00" w:cs="TT15Ct00"/>
                <w:sz w:val="16"/>
                <w:szCs w:val="16"/>
              </w:rPr>
              <w:sym w:font="Symbol" w:char="F0B7"/>
            </w:r>
            <w:r w:rsidRPr="006A3839">
              <w:rPr>
                <w:rFonts w:eastAsia="TT15Ct00" w:cs="TT15Ct00"/>
                <w:sz w:val="16"/>
                <w:szCs w:val="16"/>
              </w:rPr>
              <w:t xml:space="preserve"> </w:t>
            </w:r>
            <w:r w:rsidR="00485098">
              <w:rPr>
                <w:rFonts w:eastAsia="TT15Ct00" w:cs="TT15Ct00"/>
                <w:sz w:val="16"/>
                <w:szCs w:val="16"/>
              </w:rPr>
              <w:t xml:space="preserve">  </w:t>
            </w:r>
            <w:r w:rsidRPr="006A3839">
              <w:rPr>
                <w:rFonts w:eastAsia="TT15Ct00" w:cs="TT15Ct00"/>
                <w:sz w:val="16"/>
                <w:szCs w:val="16"/>
              </w:rPr>
              <w:t xml:space="preserve">Clarified that the required certificates of financial security can be issued in the name of the registered owner, if different from the shipowner; and </w:t>
            </w:r>
          </w:p>
          <w:p w:rsidR="00302162" w:rsidRDefault="00302162" w:rsidP="00485098">
            <w:pPr>
              <w:ind w:left="173" w:hanging="173"/>
              <w:jc w:val="both"/>
              <w:rPr>
                <w:rFonts w:eastAsia="TT15Ct00" w:cs="TT15Ct00"/>
                <w:sz w:val="16"/>
                <w:szCs w:val="16"/>
              </w:rPr>
            </w:pPr>
            <w:r w:rsidRPr="006A3839">
              <w:rPr>
                <w:rFonts w:eastAsia="TT15Ct00" w:cs="TT15Ct00"/>
                <w:sz w:val="16"/>
                <w:szCs w:val="16"/>
              </w:rPr>
              <w:sym w:font="Symbol" w:char="F0B7"/>
            </w:r>
            <w:r w:rsidRPr="006A3839">
              <w:rPr>
                <w:rFonts w:eastAsia="TT15Ct00" w:cs="TT15Ct00"/>
                <w:sz w:val="16"/>
                <w:szCs w:val="16"/>
              </w:rPr>
              <w:t xml:space="preserve"> Require Member States to ensure seafarer fatalities are adequately investigated, recorded, and reported to the ILO.</w:t>
            </w:r>
          </w:p>
          <w:p w:rsidR="00302162" w:rsidRDefault="00302162" w:rsidP="00302162">
            <w:pPr>
              <w:rPr>
                <w:rFonts w:eastAsia="TT15Ct00" w:cs="TT15Ct00"/>
                <w:sz w:val="16"/>
                <w:szCs w:val="16"/>
              </w:rPr>
            </w:pPr>
          </w:p>
          <w:p w:rsidR="00302162" w:rsidRDefault="00302162" w:rsidP="00302162">
            <w:pPr>
              <w:jc w:val="both"/>
              <w:rPr>
                <w:rFonts w:eastAsia="TT15Ct00" w:cs="TT15Ct00"/>
                <w:sz w:val="16"/>
                <w:szCs w:val="16"/>
              </w:rPr>
            </w:pPr>
            <w:r w:rsidRPr="00A74354">
              <w:rPr>
                <w:rFonts w:eastAsia="TT15Ct00" w:cs="TT15Ct00"/>
                <w:sz w:val="16"/>
                <w:szCs w:val="16"/>
              </w:rPr>
              <w:t xml:space="preserve">Ship Masters and the Company is to take note of above amendments to MLC, 2006 and are advised as follows: </w:t>
            </w:r>
          </w:p>
          <w:p w:rsidR="00302162" w:rsidRDefault="00302162" w:rsidP="00302162">
            <w:pPr>
              <w:jc w:val="both"/>
              <w:rPr>
                <w:rFonts w:eastAsia="TT15Ct00" w:cs="TT15Ct00"/>
                <w:sz w:val="16"/>
                <w:szCs w:val="16"/>
              </w:rPr>
            </w:pPr>
          </w:p>
          <w:p w:rsidR="00302162" w:rsidRDefault="00302162" w:rsidP="00302162">
            <w:pPr>
              <w:jc w:val="both"/>
              <w:rPr>
                <w:rFonts w:eastAsia="TT15Ct00" w:cs="TT15Ct00"/>
                <w:sz w:val="16"/>
                <w:szCs w:val="16"/>
              </w:rPr>
            </w:pPr>
            <w:r w:rsidRPr="00A74354">
              <w:rPr>
                <w:rFonts w:eastAsia="TT15Ct00" w:cs="TT15Ct00"/>
                <w:sz w:val="16"/>
                <w:szCs w:val="16"/>
              </w:rPr>
              <w:t xml:space="preserve">a. Review their processes to ensure they include the amended requirements </w:t>
            </w:r>
            <w:r w:rsidRPr="00A74354">
              <w:rPr>
                <w:rFonts w:eastAsia="TT15Ct00" w:cs="TT15Ct00"/>
                <w:b/>
                <w:bCs/>
                <w:sz w:val="16"/>
                <w:szCs w:val="16"/>
              </w:rPr>
              <w:t>no later than 23 December 2024</w:t>
            </w:r>
            <w:r w:rsidRPr="00A74354">
              <w:rPr>
                <w:rFonts w:eastAsia="TT15Ct00" w:cs="TT15Ct00"/>
                <w:sz w:val="16"/>
                <w:szCs w:val="16"/>
              </w:rPr>
              <w:t xml:space="preserve">, as the rights and obligations of the seafarers and shipowners as effected by the 2022 amendments to MLC, 2006 apply form the date of entry into force. </w:t>
            </w:r>
          </w:p>
          <w:p w:rsidR="00302162" w:rsidRDefault="00302162" w:rsidP="00302162">
            <w:pPr>
              <w:jc w:val="both"/>
              <w:rPr>
                <w:rFonts w:eastAsia="TT15Ct00" w:cs="TT15Ct00"/>
                <w:sz w:val="16"/>
                <w:szCs w:val="16"/>
              </w:rPr>
            </w:pPr>
          </w:p>
          <w:p w:rsidR="00302162" w:rsidRDefault="00302162" w:rsidP="00302162">
            <w:pPr>
              <w:jc w:val="both"/>
              <w:rPr>
                <w:rFonts w:eastAsia="TT15Ct00" w:cs="TT15Ct00"/>
                <w:sz w:val="16"/>
                <w:szCs w:val="16"/>
              </w:rPr>
            </w:pPr>
            <w:r w:rsidRPr="00A74354">
              <w:rPr>
                <w:rFonts w:eastAsia="TT15Ct00" w:cs="TT15Ct00"/>
                <w:sz w:val="16"/>
                <w:szCs w:val="16"/>
              </w:rPr>
              <w:t xml:space="preserve">b. Ensure timely renewal of existing Maritime Labour Certificates and DMLC Part I &amp; Part II in consultation with the vessel’s Flag Administration or their RO. </w:t>
            </w:r>
          </w:p>
          <w:p w:rsidR="00302162" w:rsidRDefault="00302162" w:rsidP="00302162">
            <w:pPr>
              <w:rPr>
                <w:rFonts w:eastAsia="TT15Ct00" w:cs="TT15Ct00"/>
                <w:sz w:val="16"/>
                <w:szCs w:val="16"/>
              </w:rPr>
            </w:pPr>
          </w:p>
          <w:p w:rsidR="00811129" w:rsidRPr="00FB2939" w:rsidRDefault="00811129" w:rsidP="00811129">
            <w:pPr>
              <w:autoSpaceDE w:val="0"/>
              <w:autoSpaceDN w:val="0"/>
              <w:adjustRightInd w:val="0"/>
              <w:jc w:val="both"/>
              <w:rPr>
                <w:rFonts w:eastAsia="TT15Ct00" w:cs="TT15Ct00"/>
                <w:b/>
                <w:bCs/>
                <w:sz w:val="16"/>
                <w:szCs w:val="16"/>
                <w:lang w:val="en-IN"/>
              </w:rPr>
            </w:pPr>
            <w:r w:rsidRPr="00811129">
              <w:rPr>
                <w:rFonts w:eastAsia="TT15Ct00" w:cs="TT15Ct00"/>
                <w:sz w:val="16"/>
                <w:szCs w:val="16"/>
                <w:lang w:val="en-IN"/>
              </w:rPr>
              <w:t xml:space="preserve">Private RPS is required to establish a system of protection, by way of insurance or an equivalent appropriate measure to compensate seafarers for monetary loss that they may incur as a result of the failure of RPS or the relevant ship owner under the SEA to meet its obligation to them.  </w:t>
            </w:r>
            <w:r w:rsidRPr="00FB2939">
              <w:rPr>
                <w:rFonts w:eastAsia="TT15Ct00" w:cs="TT15Ct00"/>
                <w:b/>
                <w:bCs/>
                <w:sz w:val="16"/>
                <w:szCs w:val="16"/>
                <w:lang w:val="en-IN"/>
              </w:rPr>
              <w:t xml:space="preserve">Further, </w:t>
            </w:r>
            <w:r w:rsidR="00FB2939">
              <w:rPr>
                <w:rFonts w:eastAsia="TT15Ct00" w:cs="TT15Ct00"/>
                <w:b/>
                <w:bCs/>
                <w:sz w:val="16"/>
                <w:szCs w:val="16"/>
                <w:lang w:val="en-IN"/>
              </w:rPr>
              <w:t xml:space="preserve">wef 23 December 2024, </w:t>
            </w:r>
            <w:r w:rsidRPr="00FB2939">
              <w:rPr>
                <w:rFonts w:eastAsia="TT15Ct00" w:cs="TT15Ct00"/>
                <w:b/>
                <w:bCs/>
                <w:sz w:val="16"/>
                <w:szCs w:val="16"/>
                <w:lang w:val="en-IN"/>
              </w:rPr>
              <w:t>Seafarers are to be informed, prior to or in the process of engagement, of their rights under above system and same is to be incorporated in the RPS procedures.</w:t>
            </w:r>
          </w:p>
          <w:p w:rsidR="00811129" w:rsidRDefault="00811129" w:rsidP="00302162">
            <w:pPr>
              <w:jc w:val="both"/>
              <w:rPr>
                <w:rFonts w:eastAsia="TT15Ct00" w:cs="TT15Ct00"/>
                <w:sz w:val="16"/>
                <w:szCs w:val="16"/>
              </w:rPr>
            </w:pPr>
          </w:p>
          <w:p w:rsidR="00302162" w:rsidRDefault="00302162" w:rsidP="00302162">
            <w:pPr>
              <w:jc w:val="both"/>
              <w:rPr>
                <w:rFonts w:eastAsia="TT15Ct00" w:cs="TT15Ct00"/>
                <w:sz w:val="16"/>
                <w:szCs w:val="16"/>
              </w:rPr>
            </w:pPr>
            <w:r>
              <w:rPr>
                <w:rFonts w:eastAsia="TT15Ct00" w:cs="TT15Ct00"/>
                <w:b/>
                <w:sz w:val="16"/>
                <w:szCs w:val="16"/>
                <w:lang w:val="en-IN"/>
              </w:rPr>
              <w:t>For details, refer IRS Technical Circular No. 021/2024, dated 16 September 2024.</w:t>
            </w:r>
          </w:p>
          <w:p w:rsidR="00302162" w:rsidRPr="007440F7" w:rsidRDefault="00302162" w:rsidP="00302162">
            <w:pPr>
              <w:pStyle w:val="ListParagraph"/>
              <w:ind w:left="31"/>
              <w:jc w:val="both"/>
              <w:rPr>
                <w:sz w:val="16"/>
                <w:szCs w:val="16"/>
              </w:rPr>
            </w:pPr>
          </w:p>
        </w:tc>
      </w:tr>
      <w:tr w:rsidR="00302162" w:rsidRPr="00202825" w:rsidTr="00DF5E62">
        <w:trPr>
          <w:trHeight w:val="975"/>
        </w:trPr>
        <w:tc>
          <w:tcPr>
            <w:tcW w:w="443" w:type="dxa"/>
          </w:tcPr>
          <w:p w:rsidR="00302162" w:rsidRDefault="006F5D70" w:rsidP="00302162">
            <w:pPr>
              <w:jc w:val="both"/>
              <w:rPr>
                <w:sz w:val="16"/>
                <w:szCs w:val="16"/>
              </w:rPr>
            </w:pPr>
            <w:r>
              <w:rPr>
                <w:sz w:val="16"/>
                <w:szCs w:val="16"/>
              </w:rPr>
              <w:t>2</w:t>
            </w:r>
          </w:p>
        </w:tc>
        <w:tc>
          <w:tcPr>
            <w:tcW w:w="1100" w:type="dxa"/>
          </w:tcPr>
          <w:p w:rsidR="00302162" w:rsidRPr="004B3C3C" w:rsidRDefault="00302162" w:rsidP="00302162">
            <w:pPr>
              <w:rPr>
                <w:sz w:val="16"/>
                <w:szCs w:val="16"/>
              </w:rPr>
            </w:pPr>
            <w:r w:rsidRPr="004B3C3C">
              <w:rPr>
                <w:sz w:val="16"/>
                <w:szCs w:val="16"/>
              </w:rPr>
              <w:t>IMSBC Code</w:t>
            </w:r>
          </w:p>
        </w:tc>
        <w:tc>
          <w:tcPr>
            <w:tcW w:w="1180" w:type="dxa"/>
          </w:tcPr>
          <w:p w:rsidR="00302162" w:rsidRDefault="00302162" w:rsidP="00302162">
            <w:pPr>
              <w:rPr>
                <w:sz w:val="16"/>
                <w:szCs w:val="16"/>
              </w:rPr>
            </w:pPr>
            <w:r>
              <w:rPr>
                <w:sz w:val="16"/>
                <w:szCs w:val="16"/>
              </w:rPr>
              <w:t>MSC.539(107</w:t>
            </w:r>
            <w:r w:rsidRPr="00F52FE7">
              <w:rPr>
                <w:sz w:val="16"/>
                <w:szCs w:val="16"/>
              </w:rPr>
              <w:t>)</w:t>
            </w:r>
          </w:p>
        </w:tc>
        <w:tc>
          <w:tcPr>
            <w:tcW w:w="963" w:type="dxa"/>
            <w:tcBorders>
              <w:left w:val="single" w:sz="6" w:space="0" w:color="6E6E6E"/>
              <w:bottom w:val="single" w:sz="6" w:space="0" w:color="6E6E6E"/>
            </w:tcBorders>
          </w:tcPr>
          <w:p w:rsidR="00302162" w:rsidRPr="004B3C3C" w:rsidRDefault="00302162" w:rsidP="00302162">
            <w:pPr>
              <w:rPr>
                <w:sz w:val="16"/>
                <w:szCs w:val="16"/>
              </w:rPr>
            </w:pPr>
            <w:r w:rsidRPr="004B3C3C">
              <w:rPr>
                <w:sz w:val="16"/>
                <w:szCs w:val="16"/>
              </w:rPr>
              <w:t>Ships carrying IMSBC Cargo</w:t>
            </w:r>
          </w:p>
        </w:tc>
        <w:tc>
          <w:tcPr>
            <w:tcW w:w="1021" w:type="dxa"/>
            <w:tcBorders>
              <w:left w:val="single" w:sz="6" w:space="0" w:color="6E6E6E"/>
              <w:bottom w:val="single" w:sz="6" w:space="0" w:color="6E6E6E"/>
            </w:tcBorders>
          </w:tcPr>
          <w:p w:rsidR="00302162" w:rsidRPr="004B3C3C" w:rsidRDefault="00302162" w:rsidP="00302162">
            <w:pPr>
              <w:rPr>
                <w:sz w:val="16"/>
                <w:szCs w:val="16"/>
              </w:rPr>
            </w:pPr>
            <w:r w:rsidRPr="004B3C3C">
              <w:rPr>
                <w:sz w:val="16"/>
                <w:szCs w:val="16"/>
              </w:rPr>
              <w:t>All</w:t>
            </w:r>
          </w:p>
        </w:tc>
        <w:tc>
          <w:tcPr>
            <w:tcW w:w="1128" w:type="dxa"/>
            <w:tcBorders>
              <w:left w:val="single" w:sz="6" w:space="0" w:color="6E6E6E"/>
              <w:bottom w:val="single" w:sz="6" w:space="0" w:color="6E6E6E"/>
            </w:tcBorders>
          </w:tcPr>
          <w:p w:rsidR="00302162" w:rsidRPr="004B3C3C" w:rsidRDefault="00302162" w:rsidP="00302162">
            <w:pPr>
              <w:pStyle w:val="ListParagraph"/>
              <w:tabs>
                <w:tab w:val="left" w:pos="174"/>
              </w:tabs>
              <w:ind w:left="84"/>
              <w:rPr>
                <w:sz w:val="16"/>
                <w:szCs w:val="16"/>
              </w:rPr>
            </w:pPr>
            <w:r w:rsidRPr="004B3C3C">
              <w:rPr>
                <w:sz w:val="16"/>
                <w:szCs w:val="16"/>
              </w:rPr>
              <w:t xml:space="preserve">1 </w:t>
            </w:r>
            <w:r>
              <w:rPr>
                <w:sz w:val="16"/>
                <w:szCs w:val="16"/>
              </w:rPr>
              <w:t>January</w:t>
            </w:r>
            <w:r w:rsidRPr="004B3C3C">
              <w:rPr>
                <w:sz w:val="16"/>
                <w:szCs w:val="16"/>
              </w:rPr>
              <w:t xml:space="preserve"> 202</w:t>
            </w:r>
            <w:r>
              <w:rPr>
                <w:sz w:val="16"/>
                <w:szCs w:val="16"/>
              </w:rPr>
              <w:t>5.</w:t>
            </w:r>
            <w:r w:rsidRPr="004B3C3C">
              <w:rPr>
                <w:sz w:val="16"/>
                <w:szCs w:val="16"/>
              </w:rPr>
              <w:br/>
              <w:t xml:space="preserve">Administrations may apply it on a </w:t>
            </w:r>
            <w:r w:rsidRPr="004B3C3C">
              <w:rPr>
                <w:sz w:val="16"/>
                <w:szCs w:val="16"/>
              </w:rPr>
              <w:lastRenderedPageBreak/>
              <w:t>voluntary basis as from 1 January 202</w:t>
            </w:r>
            <w:r>
              <w:rPr>
                <w:sz w:val="16"/>
                <w:szCs w:val="16"/>
              </w:rPr>
              <w:t>4</w:t>
            </w:r>
            <w:r w:rsidRPr="004B3C3C">
              <w:rPr>
                <w:sz w:val="16"/>
                <w:szCs w:val="16"/>
              </w:rPr>
              <w:t>.</w:t>
            </w:r>
          </w:p>
        </w:tc>
        <w:tc>
          <w:tcPr>
            <w:tcW w:w="999" w:type="dxa"/>
            <w:tcBorders>
              <w:left w:val="single" w:sz="6" w:space="0" w:color="6E6E6E"/>
              <w:bottom w:val="single" w:sz="6" w:space="0" w:color="6E6E6E"/>
            </w:tcBorders>
          </w:tcPr>
          <w:p w:rsidR="00302162" w:rsidRPr="004B3C3C" w:rsidRDefault="00302162" w:rsidP="00302162">
            <w:pPr>
              <w:rPr>
                <w:sz w:val="16"/>
                <w:szCs w:val="16"/>
              </w:rPr>
            </w:pPr>
            <w:r w:rsidRPr="004B3C3C">
              <w:rPr>
                <w:sz w:val="16"/>
                <w:szCs w:val="16"/>
              </w:rPr>
              <w:lastRenderedPageBreak/>
              <w:t>Ships carrying IMSBC Cargo</w:t>
            </w:r>
          </w:p>
        </w:tc>
        <w:tc>
          <w:tcPr>
            <w:tcW w:w="992" w:type="dxa"/>
            <w:tcBorders>
              <w:left w:val="single" w:sz="6" w:space="0" w:color="6E6E6E"/>
              <w:bottom w:val="single" w:sz="6" w:space="0" w:color="6E6E6E"/>
            </w:tcBorders>
          </w:tcPr>
          <w:p w:rsidR="00302162" w:rsidRPr="004B3C3C" w:rsidRDefault="00302162" w:rsidP="00302162">
            <w:pPr>
              <w:rPr>
                <w:sz w:val="16"/>
                <w:szCs w:val="16"/>
              </w:rPr>
            </w:pPr>
            <w:r w:rsidRPr="004B3C3C">
              <w:rPr>
                <w:sz w:val="16"/>
                <w:szCs w:val="16"/>
              </w:rPr>
              <w:t>All</w:t>
            </w:r>
          </w:p>
        </w:tc>
        <w:tc>
          <w:tcPr>
            <w:tcW w:w="1276" w:type="dxa"/>
            <w:tcBorders>
              <w:left w:val="single" w:sz="6" w:space="0" w:color="6E6E6E"/>
              <w:bottom w:val="single" w:sz="6" w:space="0" w:color="6E6E6E"/>
            </w:tcBorders>
          </w:tcPr>
          <w:p w:rsidR="00302162" w:rsidRPr="004B3C3C" w:rsidRDefault="00302162" w:rsidP="00302162">
            <w:pPr>
              <w:pStyle w:val="ListParagraph"/>
              <w:tabs>
                <w:tab w:val="left" w:pos="174"/>
              </w:tabs>
              <w:ind w:left="84"/>
              <w:rPr>
                <w:sz w:val="16"/>
                <w:szCs w:val="16"/>
              </w:rPr>
            </w:pPr>
            <w:r w:rsidRPr="004B3C3C">
              <w:rPr>
                <w:sz w:val="16"/>
                <w:szCs w:val="16"/>
              </w:rPr>
              <w:t xml:space="preserve">1 </w:t>
            </w:r>
            <w:r>
              <w:rPr>
                <w:sz w:val="16"/>
                <w:szCs w:val="16"/>
              </w:rPr>
              <w:t>January</w:t>
            </w:r>
            <w:r w:rsidRPr="004B3C3C">
              <w:rPr>
                <w:sz w:val="16"/>
                <w:szCs w:val="16"/>
              </w:rPr>
              <w:t xml:space="preserve"> 202</w:t>
            </w:r>
            <w:r>
              <w:rPr>
                <w:sz w:val="16"/>
                <w:szCs w:val="16"/>
              </w:rPr>
              <w:t>5.</w:t>
            </w:r>
            <w:r w:rsidRPr="004B3C3C">
              <w:rPr>
                <w:sz w:val="16"/>
                <w:szCs w:val="16"/>
              </w:rPr>
              <w:br/>
              <w:t xml:space="preserve">Administrations may apply it on a voluntary </w:t>
            </w:r>
            <w:r w:rsidRPr="004B3C3C">
              <w:rPr>
                <w:sz w:val="16"/>
                <w:szCs w:val="16"/>
              </w:rPr>
              <w:lastRenderedPageBreak/>
              <w:t>basis as from 1 January 202</w:t>
            </w:r>
            <w:r>
              <w:rPr>
                <w:sz w:val="16"/>
                <w:szCs w:val="16"/>
              </w:rPr>
              <w:t>4</w:t>
            </w:r>
            <w:r w:rsidRPr="004B3C3C">
              <w:rPr>
                <w:sz w:val="16"/>
                <w:szCs w:val="16"/>
              </w:rPr>
              <w:t>.</w:t>
            </w:r>
          </w:p>
        </w:tc>
        <w:tc>
          <w:tcPr>
            <w:tcW w:w="6945" w:type="dxa"/>
          </w:tcPr>
          <w:p w:rsidR="00302162" w:rsidRPr="004748F6" w:rsidRDefault="00302162" w:rsidP="00302162">
            <w:pPr>
              <w:rPr>
                <w:b/>
                <w:sz w:val="16"/>
                <w:szCs w:val="16"/>
              </w:rPr>
            </w:pPr>
            <w:r w:rsidRPr="004748F6">
              <w:rPr>
                <w:b/>
                <w:sz w:val="16"/>
                <w:szCs w:val="16"/>
              </w:rPr>
              <w:lastRenderedPageBreak/>
              <w:t>The amendments (0</w:t>
            </w:r>
            <w:r>
              <w:rPr>
                <w:b/>
                <w:sz w:val="16"/>
                <w:szCs w:val="16"/>
              </w:rPr>
              <w:t>7</w:t>
            </w:r>
            <w:r w:rsidRPr="004748F6">
              <w:rPr>
                <w:b/>
                <w:sz w:val="16"/>
                <w:szCs w:val="16"/>
              </w:rPr>
              <w:t>-2</w:t>
            </w:r>
            <w:r>
              <w:rPr>
                <w:b/>
                <w:sz w:val="16"/>
                <w:szCs w:val="16"/>
              </w:rPr>
              <w:t>3</w:t>
            </w:r>
            <w:r w:rsidRPr="004748F6">
              <w:rPr>
                <w:b/>
                <w:sz w:val="16"/>
                <w:szCs w:val="16"/>
              </w:rPr>
              <w:t>) to IMSBC Code includes (but is not limited to);</w:t>
            </w:r>
          </w:p>
          <w:p w:rsidR="00302162" w:rsidRDefault="00302162" w:rsidP="00302162">
            <w:pPr>
              <w:tabs>
                <w:tab w:val="num" w:pos="720"/>
              </w:tabs>
              <w:jc w:val="both"/>
              <w:rPr>
                <w:b/>
                <w:sz w:val="16"/>
                <w:szCs w:val="16"/>
              </w:rPr>
            </w:pPr>
          </w:p>
          <w:p w:rsidR="00302162" w:rsidRDefault="00302162" w:rsidP="00302162">
            <w:pPr>
              <w:pStyle w:val="ListParagraph"/>
              <w:numPr>
                <w:ilvl w:val="0"/>
                <w:numId w:val="16"/>
              </w:numPr>
              <w:tabs>
                <w:tab w:val="num" w:pos="263"/>
              </w:tabs>
              <w:ind w:left="263" w:hanging="263"/>
              <w:jc w:val="both"/>
              <w:rPr>
                <w:sz w:val="16"/>
                <w:szCs w:val="16"/>
              </w:rPr>
            </w:pPr>
            <w:r w:rsidRPr="006D7C7F">
              <w:rPr>
                <w:sz w:val="16"/>
                <w:szCs w:val="16"/>
              </w:rPr>
              <w:t xml:space="preserve">Inclusion of definitions for “dynamic separation” and “Cargoes which may undergo dynamic separation” (the formation of a liquid slurry (water and fine solids) above the solid material, resulting in a free surface effect which may significantly affect the ship's stability) into the forms </w:t>
            </w:r>
            <w:r w:rsidRPr="006D7C7F">
              <w:rPr>
                <w:sz w:val="16"/>
                <w:szCs w:val="16"/>
              </w:rPr>
              <w:lastRenderedPageBreak/>
              <w:t>specifying the characteristics of the cargo and the required conditions for carriage and handling of that cargo.</w:t>
            </w:r>
          </w:p>
          <w:p w:rsidR="00302162" w:rsidRDefault="00302162" w:rsidP="00302162">
            <w:pPr>
              <w:tabs>
                <w:tab w:val="num" w:pos="720"/>
              </w:tabs>
              <w:jc w:val="both"/>
              <w:rPr>
                <w:sz w:val="16"/>
                <w:szCs w:val="16"/>
              </w:rPr>
            </w:pPr>
          </w:p>
          <w:p w:rsidR="00353635" w:rsidRPr="004748F6" w:rsidRDefault="00353635" w:rsidP="00302162">
            <w:pPr>
              <w:tabs>
                <w:tab w:val="num" w:pos="720"/>
              </w:tabs>
              <w:jc w:val="both"/>
              <w:rPr>
                <w:sz w:val="16"/>
                <w:szCs w:val="16"/>
              </w:rPr>
            </w:pPr>
          </w:p>
          <w:p w:rsidR="00302162" w:rsidRPr="00F42AD2" w:rsidRDefault="00302162" w:rsidP="00302162">
            <w:pPr>
              <w:pStyle w:val="ListParagraph"/>
              <w:numPr>
                <w:ilvl w:val="0"/>
                <w:numId w:val="16"/>
              </w:numPr>
              <w:tabs>
                <w:tab w:val="num" w:pos="263"/>
              </w:tabs>
              <w:ind w:left="263" w:hanging="263"/>
              <w:jc w:val="both"/>
              <w:rPr>
                <w:sz w:val="16"/>
                <w:szCs w:val="16"/>
              </w:rPr>
            </w:pPr>
            <w:r w:rsidRPr="006D7C7F">
              <w:rPr>
                <w:sz w:val="16"/>
                <w:szCs w:val="16"/>
              </w:rPr>
              <w:t>Revisions to various existing individual schedules for solid bulk cargoes.</w:t>
            </w:r>
          </w:p>
          <w:p w:rsidR="00302162" w:rsidRPr="00F42AD2" w:rsidRDefault="00302162" w:rsidP="00302162">
            <w:pPr>
              <w:pStyle w:val="ListParagraph"/>
              <w:rPr>
                <w:sz w:val="16"/>
                <w:szCs w:val="16"/>
              </w:rPr>
            </w:pPr>
          </w:p>
          <w:p w:rsidR="00302162" w:rsidRDefault="00302162" w:rsidP="00302162">
            <w:pPr>
              <w:pStyle w:val="ListParagraph"/>
              <w:numPr>
                <w:ilvl w:val="0"/>
                <w:numId w:val="16"/>
              </w:numPr>
              <w:tabs>
                <w:tab w:val="num" w:pos="263"/>
              </w:tabs>
              <w:ind w:left="263" w:hanging="263"/>
              <w:jc w:val="both"/>
              <w:rPr>
                <w:sz w:val="16"/>
                <w:szCs w:val="16"/>
              </w:rPr>
            </w:pPr>
            <w:r w:rsidRPr="004748F6">
              <w:rPr>
                <w:sz w:val="16"/>
                <w:szCs w:val="16"/>
              </w:rPr>
              <w:t>Following new schedules have been added to Appendix 1 of the Code:</w:t>
            </w:r>
          </w:p>
          <w:p w:rsidR="00302162" w:rsidRPr="00336677" w:rsidRDefault="00302162" w:rsidP="00302162">
            <w:pPr>
              <w:pStyle w:val="ListParagraph"/>
              <w:ind w:left="546"/>
              <w:jc w:val="both"/>
              <w:rPr>
                <w:sz w:val="16"/>
                <w:szCs w:val="16"/>
              </w:rPr>
            </w:pPr>
          </w:p>
          <w:tbl>
            <w:tblPr>
              <w:tblW w:w="0" w:type="auto"/>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819"/>
              <w:gridCol w:w="851"/>
            </w:tblGrid>
            <w:tr w:rsidR="00302162" w:rsidRPr="006B742B" w:rsidTr="002B3461">
              <w:trPr>
                <w:trHeight w:val="185"/>
              </w:trPr>
              <w:tc>
                <w:tcPr>
                  <w:tcW w:w="4819" w:type="dxa"/>
                  <w:tcBorders>
                    <w:top w:val="single" w:sz="4" w:space="0" w:color="auto"/>
                  </w:tcBorders>
                </w:tcPr>
                <w:p w:rsidR="00302162" w:rsidRPr="006B742B" w:rsidRDefault="00302162" w:rsidP="00302162">
                  <w:pPr>
                    <w:tabs>
                      <w:tab w:val="num" w:pos="720"/>
                    </w:tabs>
                    <w:spacing w:after="0" w:line="240" w:lineRule="auto"/>
                    <w:jc w:val="both"/>
                    <w:rPr>
                      <w:sz w:val="16"/>
                      <w:szCs w:val="16"/>
                    </w:rPr>
                  </w:pPr>
                  <w:r w:rsidRPr="006B742B">
                    <w:rPr>
                      <w:sz w:val="16"/>
                      <w:szCs w:val="16"/>
                    </w:rPr>
                    <w:t>Cargo</w:t>
                  </w:r>
                </w:p>
              </w:tc>
              <w:tc>
                <w:tcPr>
                  <w:tcW w:w="851" w:type="dxa"/>
                  <w:tcBorders>
                    <w:top w:val="single" w:sz="4" w:space="0" w:color="auto"/>
                  </w:tcBorders>
                </w:tcPr>
                <w:p w:rsidR="00302162" w:rsidRPr="006B742B" w:rsidRDefault="00302162" w:rsidP="00302162">
                  <w:pPr>
                    <w:tabs>
                      <w:tab w:val="num" w:pos="720"/>
                    </w:tabs>
                    <w:spacing w:after="0" w:line="240" w:lineRule="auto"/>
                    <w:jc w:val="both"/>
                    <w:rPr>
                      <w:sz w:val="16"/>
                      <w:szCs w:val="16"/>
                    </w:rPr>
                  </w:pPr>
                  <w:r w:rsidRPr="006B742B">
                    <w:rPr>
                      <w:sz w:val="16"/>
                      <w:szCs w:val="16"/>
                    </w:rPr>
                    <w:t>Group</w:t>
                  </w:r>
                </w:p>
              </w:tc>
            </w:tr>
            <w:tr w:rsidR="00302162" w:rsidRPr="006B742B" w:rsidTr="002B3461">
              <w:trPr>
                <w:trHeight w:val="213"/>
              </w:trPr>
              <w:tc>
                <w:tcPr>
                  <w:tcW w:w="4819" w:type="dxa"/>
                </w:tcPr>
                <w:p w:rsidR="00302162" w:rsidRPr="006B742B" w:rsidRDefault="00302162" w:rsidP="00302162">
                  <w:pPr>
                    <w:tabs>
                      <w:tab w:val="num" w:pos="720"/>
                    </w:tabs>
                    <w:spacing w:after="0" w:line="240" w:lineRule="auto"/>
                    <w:jc w:val="both"/>
                    <w:rPr>
                      <w:sz w:val="16"/>
                      <w:szCs w:val="16"/>
                    </w:rPr>
                  </w:pPr>
                  <w:r w:rsidRPr="006D7C7F">
                    <w:rPr>
                      <w:sz w:val="16"/>
                      <w:szCs w:val="16"/>
                    </w:rPr>
                    <w:t>CELESTINE CONCENTRATE</w:t>
                  </w:r>
                </w:p>
              </w:tc>
              <w:tc>
                <w:tcPr>
                  <w:tcW w:w="851" w:type="dxa"/>
                </w:tcPr>
                <w:p w:rsidR="00302162" w:rsidRPr="006B742B" w:rsidRDefault="00302162" w:rsidP="00302162">
                  <w:pPr>
                    <w:tabs>
                      <w:tab w:val="num" w:pos="720"/>
                    </w:tabs>
                    <w:spacing w:after="0" w:line="240" w:lineRule="auto"/>
                    <w:jc w:val="center"/>
                    <w:rPr>
                      <w:sz w:val="16"/>
                      <w:szCs w:val="16"/>
                    </w:rPr>
                  </w:pPr>
                  <w:r>
                    <w:rPr>
                      <w:sz w:val="16"/>
                      <w:szCs w:val="16"/>
                    </w:rPr>
                    <w:t>A</w:t>
                  </w:r>
                </w:p>
              </w:tc>
            </w:tr>
            <w:tr w:rsidR="00302162" w:rsidRPr="006B742B" w:rsidTr="002B3461">
              <w:trPr>
                <w:trHeight w:val="207"/>
              </w:trPr>
              <w:tc>
                <w:tcPr>
                  <w:tcW w:w="4819" w:type="dxa"/>
                </w:tcPr>
                <w:p w:rsidR="00302162" w:rsidRPr="006B742B" w:rsidRDefault="00302162" w:rsidP="00302162">
                  <w:pPr>
                    <w:tabs>
                      <w:tab w:val="num" w:pos="720"/>
                    </w:tabs>
                    <w:spacing w:after="0" w:line="240" w:lineRule="auto"/>
                    <w:jc w:val="both"/>
                    <w:rPr>
                      <w:sz w:val="16"/>
                      <w:szCs w:val="16"/>
                    </w:rPr>
                  </w:pPr>
                  <w:r w:rsidRPr="006D7C7F">
                    <w:rPr>
                      <w:sz w:val="16"/>
                      <w:szCs w:val="16"/>
                    </w:rPr>
                    <w:t>BARYTE, FLOTATION CHEMICAL GRADE</w:t>
                  </w:r>
                </w:p>
              </w:tc>
              <w:tc>
                <w:tcPr>
                  <w:tcW w:w="851" w:type="dxa"/>
                </w:tcPr>
                <w:p w:rsidR="00302162" w:rsidRPr="006B742B" w:rsidRDefault="00302162" w:rsidP="00302162">
                  <w:pPr>
                    <w:tabs>
                      <w:tab w:val="num" w:pos="720"/>
                    </w:tabs>
                    <w:spacing w:after="0" w:line="240" w:lineRule="auto"/>
                    <w:jc w:val="center"/>
                    <w:rPr>
                      <w:sz w:val="16"/>
                      <w:szCs w:val="16"/>
                    </w:rPr>
                  </w:pPr>
                  <w:r>
                    <w:rPr>
                      <w:sz w:val="16"/>
                      <w:szCs w:val="16"/>
                    </w:rPr>
                    <w:t>A</w:t>
                  </w:r>
                </w:p>
              </w:tc>
            </w:tr>
            <w:tr w:rsidR="00302162" w:rsidRPr="006B742B" w:rsidTr="002B3461">
              <w:trPr>
                <w:trHeight w:val="207"/>
              </w:trPr>
              <w:tc>
                <w:tcPr>
                  <w:tcW w:w="4819" w:type="dxa"/>
                </w:tcPr>
                <w:p w:rsidR="00302162" w:rsidRPr="006B742B" w:rsidRDefault="00302162" w:rsidP="00302162">
                  <w:pPr>
                    <w:tabs>
                      <w:tab w:val="num" w:pos="720"/>
                    </w:tabs>
                    <w:spacing w:after="0" w:line="240" w:lineRule="auto"/>
                    <w:jc w:val="both"/>
                    <w:rPr>
                      <w:sz w:val="16"/>
                      <w:szCs w:val="16"/>
                    </w:rPr>
                  </w:pPr>
                  <w:r w:rsidRPr="006D7C7F">
                    <w:rPr>
                      <w:sz w:val="16"/>
                      <w:szCs w:val="16"/>
                    </w:rPr>
                    <w:t>BROWN FUSED ALUMINA</w:t>
                  </w:r>
                </w:p>
              </w:tc>
              <w:tc>
                <w:tcPr>
                  <w:tcW w:w="851" w:type="dxa"/>
                </w:tcPr>
                <w:p w:rsidR="00302162" w:rsidRPr="006B742B" w:rsidRDefault="00302162" w:rsidP="00302162">
                  <w:pPr>
                    <w:tabs>
                      <w:tab w:val="num" w:pos="720"/>
                    </w:tabs>
                    <w:spacing w:after="0" w:line="240" w:lineRule="auto"/>
                    <w:jc w:val="center"/>
                    <w:rPr>
                      <w:sz w:val="16"/>
                      <w:szCs w:val="16"/>
                    </w:rPr>
                  </w:pPr>
                  <w:r>
                    <w:rPr>
                      <w:sz w:val="16"/>
                      <w:szCs w:val="16"/>
                    </w:rPr>
                    <w:t>C</w:t>
                  </w:r>
                </w:p>
              </w:tc>
            </w:tr>
            <w:tr w:rsidR="00302162" w:rsidRPr="006B742B" w:rsidTr="002B3461">
              <w:trPr>
                <w:trHeight w:val="194"/>
              </w:trPr>
              <w:tc>
                <w:tcPr>
                  <w:tcW w:w="4819" w:type="dxa"/>
                </w:tcPr>
                <w:p w:rsidR="00302162" w:rsidRPr="006B742B" w:rsidRDefault="00302162" w:rsidP="00302162">
                  <w:pPr>
                    <w:tabs>
                      <w:tab w:val="num" w:pos="720"/>
                    </w:tabs>
                    <w:spacing w:after="0" w:line="240" w:lineRule="auto"/>
                    <w:jc w:val="both"/>
                    <w:rPr>
                      <w:sz w:val="16"/>
                      <w:szCs w:val="16"/>
                    </w:rPr>
                  </w:pPr>
                  <w:r w:rsidRPr="006D7C7F">
                    <w:rPr>
                      <w:sz w:val="16"/>
                      <w:szCs w:val="16"/>
                    </w:rPr>
                    <w:t>CRUSHED GRANODIORITE FINES</w:t>
                  </w:r>
                </w:p>
              </w:tc>
              <w:tc>
                <w:tcPr>
                  <w:tcW w:w="851" w:type="dxa"/>
                </w:tcPr>
                <w:p w:rsidR="00302162" w:rsidRPr="006B742B" w:rsidRDefault="00302162" w:rsidP="00302162">
                  <w:pPr>
                    <w:tabs>
                      <w:tab w:val="num" w:pos="720"/>
                    </w:tabs>
                    <w:spacing w:after="0" w:line="240" w:lineRule="auto"/>
                    <w:jc w:val="center"/>
                    <w:rPr>
                      <w:sz w:val="16"/>
                      <w:szCs w:val="16"/>
                    </w:rPr>
                  </w:pPr>
                  <w:r>
                    <w:rPr>
                      <w:sz w:val="16"/>
                      <w:szCs w:val="16"/>
                    </w:rPr>
                    <w:t>A</w:t>
                  </w:r>
                </w:p>
              </w:tc>
            </w:tr>
            <w:tr w:rsidR="00302162" w:rsidRPr="006B742B" w:rsidTr="002B3461">
              <w:trPr>
                <w:trHeight w:val="129"/>
              </w:trPr>
              <w:tc>
                <w:tcPr>
                  <w:tcW w:w="4819" w:type="dxa"/>
                </w:tcPr>
                <w:p w:rsidR="00302162" w:rsidRPr="006B742B" w:rsidRDefault="00302162" w:rsidP="00302162">
                  <w:pPr>
                    <w:tabs>
                      <w:tab w:val="num" w:pos="720"/>
                    </w:tabs>
                    <w:spacing w:after="0" w:line="240" w:lineRule="auto"/>
                    <w:jc w:val="both"/>
                    <w:rPr>
                      <w:sz w:val="16"/>
                      <w:szCs w:val="16"/>
                    </w:rPr>
                  </w:pPr>
                  <w:r w:rsidRPr="006D7C7F">
                    <w:rPr>
                      <w:sz w:val="16"/>
                      <w:szCs w:val="16"/>
                    </w:rPr>
                    <w:t>DIRECT REDUCED IRON (D) (By-product fines with moisture content of at least 2%)</w:t>
                  </w:r>
                </w:p>
              </w:tc>
              <w:tc>
                <w:tcPr>
                  <w:tcW w:w="851" w:type="dxa"/>
                </w:tcPr>
                <w:p w:rsidR="00302162" w:rsidRPr="006B742B" w:rsidRDefault="00302162" w:rsidP="00302162">
                  <w:pPr>
                    <w:tabs>
                      <w:tab w:val="num" w:pos="720"/>
                    </w:tabs>
                    <w:spacing w:after="0" w:line="240" w:lineRule="auto"/>
                    <w:jc w:val="center"/>
                    <w:rPr>
                      <w:sz w:val="16"/>
                      <w:szCs w:val="16"/>
                    </w:rPr>
                  </w:pPr>
                  <w:r>
                    <w:rPr>
                      <w:sz w:val="16"/>
                      <w:szCs w:val="16"/>
                    </w:rPr>
                    <w:t>A &amp; B</w:t>
                  </w:r>
                </w:p>
              </w:tc>
            </w:tr>
            <w:tr w:rsidR="00302162" w:rsidRPr="006B742B" w:rsidTr="002B3461">
              <w:trPr>
                <w:trHeight w:val="129"/>
              </w:trPr>
              <w:tc>
                <w:tcPr>
                  <w:tcW w:w="4819" w:type="dxa"/>
                </w:tcPr>
                <w:p w:rsidR="00302162" w:rsidRPr="006D7C7F" w:rsidRDefault="00302162" w:rsidP="00302162">
                  <w:pPr>
                    <w:tabs>
                      <w:tab w:val="num" w:pos="720"/>
                    </w:tabs>
                    <w:spacing w:after="0" w:line="240" w:lineRule="auto"/>
                    <w:jc w:val="both"/>
                    <w:rPr>
                      <w:sz w:val="16"/>
                      <w:szCs w:val="16"/>
                    </w:rPr>
                  </w:pPr>
                  <w:r w:rsidRPr="006D7C7F">
                    <w:rPr>
                      <w:sz w:val="16"/>
                      <w:szCs w:val="16"/>
                    </w:rPr>
                    <w:t>DUNITE</w:t>
                  </w:r>
                </w:p>
              </w:tc>
              <w:tc>
                <w:tcPr>
                  <w:tcW w:w="851" w:type="dxa"/>
                </w:tcPr>
                <w:p w:rsidR="00302162" w:rsidRPr="006B742B" w:rsidRDefault="00302162" w:rsidP="00302162">
                  <w:pPr>
                    <w:tabs>
                      <w:tab w:val="num" w:pos="720"/>
                    </w:tabs>
                    <w:spacing w:after="0" w:line="240" w:lineRule="auto"/>
                    <w:jc w:val="center"/>
                    <w:rPr>
                      <w:sz w:val="16"/>
                      <w:szCs w:val="16"/>
                    </w:rPr>
                  </w:pPr>
                  <w:r>
                    <w:rPr>
                      <w:sz w:val="16"/>
                      <w:szCs w:val="16"/>
                    </w:rPr>
                    <w:t>C</w:t>
                  </w:r>
                </w:p>
              </w:tc>
            </w:tr>
            <w:tr w:rsidR="00302162" w:rsidRPr="006B742B" w:rsidTr="002B3461">
              <w:trPr>
                <w:trHeight w:val="129"/>
              </w:trPr>
              <w:tc>
                <w:tcPr>
                  <w:tcW w:w="4819" w:type="dxa"/>
                </w:tcPr>
                <w:p w:rsidR="00302162" w:rsidRPr="006D7C7F" w:rsidRDefault="00302162" w:rsidP="00302162">
                  <w:pPr>
                    <w:tabs>
                      <w:tab w:val="num" w:pos="720"/>
                    </w:tabs>
                    <w:spacing w:after="0" w:line="240" w:lineRule="auto"/>
                    <w:jc w:val="both"/>
                    <w:rPr>
                      <w:sz w:val="16"/>
                      <w:szCs w:val="16"/>
                    </w:rPr>
                  </w:pPr>
                  <w:r w:rsidRPr="006D7C7F">
                    <w:rPr>
                      <w:sz w:val="16"/>
                      <w:szCs w:val="16"/>
                    </w:rPr>
                    <w:t>DUNITE FINES</w:t>
                  </w:r>
                </w:p>
              </w:tc>
              <w:tc>
                <w:tcPr>
                  <w:tcW w:w="851" w:type="dxa"/>
                </w:tcPr>
                <w:p w:rsidR="00302162" w:rsidRPr="006B742B" w:rsidRDefault="00302162" w:rsidP="00302162">
                  <w:pPr>
                    <w:tabs>
                      <w:tab w:val="num" w:pos="720"/>
                    </w:tabs>
                    <w:spacing w:after="0" w:line="240" w:lineRule="auto"/>
                    <w:jc w:val="center"/>
                    <w:rPr>
                      <w:sz w:val="16"/>
                      <w:szCs w:val="16"/>
                    </w:rPr>
                  </w:pPr>
                  <w:r>
                    <w:rPr>
                      <w:sz w:val="16"/>
                      <w:szCs w:val="16"/>
                    </w:rPr>
                    <w:t>A</w:t>
                  </w:r>
                </w:p>
              </w:tc>
            </w:tr>
            <w:tr w:rsidR="00302162" w:rsidRPr="006B742B" w:rsidTr="002B3461">
              <w:trPr>
                <w:trHeight w:val="129"/>
              </w:trPr>
              <w:tc>
                <w:tcPr>
                  <w:tcW w:w="4819" w:type="dxa"/>
                </w:tcPr>
                <w:p w:rsidR="00302162" w:rsidRPr="006D7C7F" w:rsidRDefault="00302162" w:rsidP="00302162">
                  <w:pPr>
                    <w:tabs>
                      <w:tab w:val="num" w:pos="720"/>
                    </w:tabs>
                    <w:spacing w:after="0" w:line="240" w:lineRule="auto"/>
                    <w:jc w:val="both"/>
                    <w:rPr>
                      <w:sz w:val="16"/>
                      <w:szCs w:val="16"/>
                    </w:rPr>
                  </w:pPr>
                  <w:r w:rsidRPr="006D7C7F">
                    <w:rPr>
                      <w:sz w:val="16"/>
                      <w:szCs w:val="16"/>
                    </w:rPr>
                    <w:t>ELECTRIC ARC FURNACE DUST, PELLETIZED</w:t>
                  </w:r>
                </w:p>
              </w:tc>
              <w:tc>
                <w:tcPr>
                  <w:tcW w:w="851" w:type="dxa"/>
                </w:tcPr>
                <w:p w:rsidR="00302162" w:rsidRPr="006B742B" w:rsidRDefault="00302162" w:rsidP="00302162">
                  <w:pPr>
                    <w:tabs>
                      <w:tab w:val="num" w:pos="720"/>
                    </w:tabs>
                    <w:spacing w:after="0" w:line="240" w:lineRule="auto"/>
                    <w:jc w:val="center"/>
                    <w:rPr>
                      <w:sz w:val="16"/>
                      <w:szCs w:val="16"/>
                    </w:rPr>
                  </w:pPr>
                  <w:r>
                    <w:rPr>
                      <w:sz w:val="16"/>
                      <w:szCs w:val="16"/>
                    </w:rPr>
                    <w:t>A &amp; B</w:t>
                  </w:r>
                </w:p>
              </w:tc>
            </w:tr>
            <w:tr w:rsidR="00302162" w:rsidRPr="006B742B" w:rsidTr="002B3461">
              <w:trPr>
                <w:trHeight w:val="129"/>
              </w:trPr>
              <w:tc>
                <w:tcPr>
                  <w:tcW w:w="4819" w:type="dxa"/>
                </w:tcPr>
                <w:p w:rsidR="00302162" w:rsidRPr="006D7C7F" w:rsidRDefault="00302162" w:rsidP="00302162">
                  <w:pPr>
                    <w:tabs>
                      <w:tab w:val="num" w:pos="720"/>
                    </w:tabs>
                    <w:spacing w:after="0" w:line="240" w:lineRule="auto"/>
                    <w:jc w:val="both"/>
                    <w:rPr>
                      <w:sz w:val="16"/>
                      <w:szCs w:val="16"/>
                    </w:rPr>
                  </w:pPr>
                  <w:r w:rsidRPr="006D7C7F">
                    <w:rPr>
                      <w:sz w:val="16"/>
                      <w:szCs w:val="16"/>
                    </w:rPr>
                    <w:t>FISH MEAL (FISH SCRAP), STABILIZED Anti-oxidant treated</w:t>
                  </w:r>
                </w:p>
              </w:tc>
              <w:tc>
                <w:tcPr>
                  <w:tcW w:w="851" w:type="dxa"/>
                </w:tcPr>
                <w:p w:rsidR="00302162" w:rsidRPr="006B742B" w:rsidRDefault="00302162" w:rsidP="00302162">
                  <w:pPr>
                    <w:tabs>
                      <w:tab w:val="num" w:pos="720"/>
                    </w:tabs>
                    <w:spacing w:after="0" w:line="240" w:lineRule="auto"/>
                    <w:jc w:val="center"/>
                    <w:rPr>
                      <w:sz w:val="16"/>
                      <w:szCs w:val="16"/>
                    </w:rPr>
                  </w:pPr>
                  <w:r>
                    <w:rPr>
                      <w:sz w:val="16"/>
                      <w:szCs w:val="16"/>
                    </w:rPr>
                    <w:t>B</w:t>
                  </w:r>
                </w:p>
              </w:tc>
            </w:tr>
            <w:tr w:rsidR="00302162" w:rsidRPr="006B742B" w:rsidTr="002B3461">
              <w:trPr>
                <w:trHeight w:val="129"/>
              </w:trPr>
              <w:tc>
                <w:tcPr>
                  <w:tcW w:w="4819" w:type="dxa"/>
                </w:tcPr>
                <w:p w:rsidR="00302162" w:rsidRPr="006D7C7F" w:rsidRDefault="00302162" w:rsidP="00302162">
                  <w:pPr>
                    <w:tabs>
                      <w:tab w:val="num" w:pos="720"/>
                    </w:tabs>
                    <w:spacing w:after="0" w:line="240" w:lineRule="auto"/>
                    <w:jc w:val="both"/>
                    <w:rPr>
                      <w:sz w:val="16"/>
                      <w:szCs w:val="16"/>
                    </w:rPr>
                  </w:pPr>
                  <w:r w:rsidRPr="006D7C7F">
                    <w:rPr>
                      <w:sz w:val="16"/>
                      <w:szCs w:val="16"/>
                    </w:rPr>
                    <w:t>GROUND GRANULATED BLAST FURNACE SLAG POWDER</w:t>
                  </w:r>
                </w:p>
              </w:tc>
              <w:tc>
                <w:tcPr>
                  <w:tcW w:w="851" w:type="dxa"/>
                </w:tcPr>
                <w:p w:rsidR="00302162" w:rsidRPr="006B742B" w:rsidRDefault="00302162" w:rsidP="00302162">
                  <w:pPr>
                    <w:tabs>
                      <w:tab w:val="num" w:pos="720"/>
                    </w:tabs>
                    <w:spacing w:after="0" w:line="240" w:lineRule="auto"/>
                    <w:jc w:val="center"/>
                    <w:rPr>
                      <w:sz w:val="16"/>
                      <w:szCs w:val="16"/>
                    </w:rPr>
                  </w:pPr>
                  <w:r>
                    <w:rPr>
                      <w:sz w:val="16"/>
                      <w:szCs w:val="16"/>
                    </w:rPr>
                    <w:t>A</w:t>
                  </w:r>
                </w:p>
              </w:tc>
            </w:tr>
            <w:tr w:rsidR="00302162" w:rsidRPr="006B742B" w:rsidTr="002B3461">
              <w:trPr>
                <w:trHeight w:val="129"/>
              </w:trPr>
              <w:tc>
                <w:tcPr>
                  <w:tcW w:w="4819" w:type="dxa"/>
                </w:tcPr>
                <w:p w:rsidR="00302162" w:rsidRPr="006D7C7F" w:rsidRDefault="00302162" w:rsidP="00302162">
                  <w:pPr>
                    <w:tabs>
                      <w:tab w:val="num" w:pos="720"/>
                    </w:tabs>
                    <w:spacing w:after="0" w:line="240" w:lineRule="auto"/>
                    <w:jc w:val="both"/>
                    <w:rPr>
                      <w:sz w:val="16"/>
                      <w:szCs w:val="16"/>
                    </w:rPr>
                  </w:pPr>
                  <w:r w:rsidRPr="006D7C7F">
                    <w:rPr>
                      <w:sz w:val="16"/>
                      <w:szCs w:val="16"/>
                    </w:rPr>
                    <w:t>MAGNESITE FINES</w:t>
                  </w:r>
                </w:p>
              </w:tc>
              <w:tc>
                <w:tcPr>
                  <w:tcW w:w="851" w:type="dxa"/>
                </w:tcPr>
                <w:p w:rsidR="00302162" w:rsidRPr="006B742B" w:rsidRDefault="00302162" w:rsidP="00302162">
                  <w:pPr>
                    <w:tabs>
                      <w:tab w:val="num" w:pos="720"/>
                    </w:tabs>
                    <w:spacing w:after="0" w:line="240" w:lineRule="auto"/>
                    <w:jc w:val="center"/>
                    <w:rPr>
                      <w:sz w:val="16"/>
                      <w:szCs w:val="16"/>
                    </w:rPr>
                  </w:pPr>
                  <w:r>
                    <w:rPr>
                      <w:sz w:val="16"/>
                      <w:szCs w:val="16"/>
                    </w:rPr>
                    <w:t>A</w:t>
                  </w:r>
                </w:p>
              </w:tc>
            </w:tr>
            <w:tr w:rsidR="00302162" w:rsidRPr="006B742B" w:rsidTr="002B3461">
              <w:trPr>
                <w:trHeight w:val="129"/>
              </w:trPr>
              <w:tc>
                <w:tcPr>
                  <w:tcW w:w="4819" w:type="dxa"/>
                </w:tcPr>
                <w:p w:rsidR="00302162" w:rsidRPr="006D7C7F" w:rsidRDefault="00302162" w:rsidP="00302162">
                  <w:pPr>
                    <w:tabs>
                      <w:tab w:val="num" w:pos="720"/>
                    </w:tabs>
                    <w:spacing w:after="0" w:line="240" w:lineRule="auto"/>
                    <w:jc w:val="both"/>
                    <w:rPr>
                      <w:sz w:val="16"/>
                      <w:szCs w:val="16"/>
                    </w:rPr>
                  </w:pPr>
                  <w:r w:rsidRPr="006D7C7F">
                    <w:rPr>
                      <w:sz w:val="16"/>
                      <w:szCs w:val="16"/>
                    </w:rPr>
                    <w:t>POTASSIUM NITRATE</w:t>
                  </w:r>
                </w:p>
              </w:tc>
              <w:tc>
                <w:tcPr>
                  <w:tcW w:w="851" w:type="dxa"/>
                </w:tcPr>
                <w:p w:rsidR="00302162" w:rsidRPr="006B742B" w:rsidRDefault="00302162" w:rsidP="00302162">
                  <w:pPr>
                    <w:tabs>
                      <w:tab w:val="num" w:pos="720"/>
                    </w:tabs>
                    <w:spacing w:after="0" w:line="240" w:lineRule="auto"/>
                    <w:jc w:val="center"/>
                    <w:rPr>
                      <w:sz w:val="16"/>
                      <w:szCs w:val="16"/>
                    </w:rPr>
                  </w:pPr>
                  <w:r>
                    <w:rPr>
                      <w:sz w:val="16"/>
                      <w:szCs w:val="16"/>
                    </w:rPr>
                    <w:t>C</w:t>
                  </w:r>
                </w:p>
              </w:tc>
            </w:tr>
            <w:tr w:rsidR="00302162" w:rsidRPr="006B742B" w:rsidTr="002B3461">
              <w:trPr>
                <w:trHeight w:val="129"/>
              </w:trPr>
              <w:tc>
                <w:tcPr>
                  <w:tcW w:w="4819" w:type="dxa"/>
                </w:tcPr>
                <w:p w:rsidR="00302162" w:rsidRPr="006D7C7F" w:rsidRDefault="00302162" w:rsidP="00302162">
                  <w:pPr>
                    <w:tabs>
                      <w:tab w:val="num" w:pos="720"/>
                    </w:tabs>
                    <w:spacing w:after="0" w:line="240" w:lineRule="auto"/>
                    <w:jc w:val="both"/>
                    <w:rPr>
                      <w:sz w:val="16"/>
                      <w:szCs w:val="16"/>
                    </w:rPr>
                  </w:pPr>
                  <w:r w:rsidRPr="006D7C7F">
                    <w:rPr>
                      <w:sz w:val="16"/>
                      <w:szCs w:val="16"/>
                    </w:rPr>
                    <w:t>SODIUM NITRATE</w:t>
                  </w:r>
                </w:p>
              </w:tc>
              <w:tc>
                <w:tcPr>
                  <w:tcW w:w="851" w:type="dxa"/>
                </w:tcPr>
                <w:p w:rsidR="00302162" w:rsidRPr="006B742B" w:rsidRDefault="00302162" w:rsidP="00302162">
                  <w:pPr>
                    <w:tabs>
                      <w:tab w:val="num" w:pos="720"/>
                    </w:tabs>
                    <w:spacing w:after="0" w:line="240" w:lineRule="auto"/>
                    <w:jc w:val="center"/>
                    <w:rPr>
                      <w:sz w:val="16"/>
                      <w:szCs w:val="16"/>
                    </w:rPr>
                  </w:pPr>
                  <w:r>
                    <w:rPr>
                      <w:sz w:val="16"/>
                      <w:szCs w:val="16"/>
                    </w:rPr>
                    <w:t>C</w:t>
                  </w:r>
                </w:p>
              </w:tc>
            </w:tr>
            <w:tr w:rsidR="00302162" w:rsidRPr="006B742B" w:rsidTr="002B3461">
              <w:trPr>
                <w:trHeight w:val="129"/>
              </w:trPr>
              <w:tc>
                <w:tcPr>
                  <w:tcW w:w="4819" w:type="dxa"/>
                </w:tcPr>
                <w:p w:rsidR="00302162" w:rsidRPr="006D7C7F" w:rsidRDefault="00302162" w:rsidP="00302162">
                  <w:pPr>
                    <w:tabs>
                      <w:tab w:val="num" w:pos="720"/>
                    </w:tabs>
                    <w:spacing w:after="0" w:line="240" w:lineRule="auto"/>
                    <w:jc w:val="both"/>
                    <w:rPr>
                      <w:sz w:val="16"/>
                      <w:szCs w:val="16"/>
                    </w:rPr>
                  </w:pPr>
                  <w:r w:rsidRPr="006D7C7F">
                    <w:rPr>
                      <w:sz w:val="16"/>
                      <w:szCs w:val="16"/>
                    </w:rPr>
                    <w:t>SODIUM NITRATE AND POTASSIUM NITRATE MIXTURE</w:t>
                  </w:r>
                </w:p>
              </w:tc>
              <w:tc>
                <w:tcPr>
                  <w:tcW w:w="851" w:type="dxa"/>
                </w:tcPr>
                <w:p w:rsidR="00302162" w:rsidRPr="006B742B" w:rsidRDefault="00302162" w:rsidP="00302162">
                  <w:pPr>
                    <w:tabs>
                      <w:tab w:val="num" w:pos="720"/>
                    </w:tabs>
                    <w:spacing w:after="0" w:line="240" w:lineRule="auto"/>
                    <w:jc w:val="center"/>
                    <w:rPr>
                      <w:sz w:val="16"/>
                      <w:szCs w:val="16"/>
                    </w:rPr>
                  </w:pPr>
                  <w:r>
                    <w:rPr>
                      <w:sz w:val="16"/>
                      <w:szCs w:val="16"/>
                    </w:rPr>
                    <w:t>C</w:t>
                  </w:r>
                </w:p>
              </w:tc>
            </w:tr>
          </w:tbl>
          <w:p w:rsidR="00302162" w:rsidRDefault="00302162" w:rsidP="00302162">
            <w:pPr>
              <w:tabs>
                <w:tab w:val="num" w:pos="720"/>
              </w:tabs>
              <w:ind w:left="262" w:hanging="262"/>
              <w:jc w:val="both"/>
              <w:rPr>
                <w:sz w:val="16"/>
                <w:szCs w:val="16"/>
              </w:rPr>
            </w:pPr>
            <w:r w:rsidRPr="004748F6">
              <w:rPr>
                <w:sz w:val="16"/>
                <w:szCs w:val="16"/>
              </w:rPr>
              <w:tab/>
            </w:r>
          </w:p>
          <w:p w:rsidR="00302162" w:rsidRDefault="00302162" w:rsidP="00302162">
            <w:pPr>
              <w:pStyle w:val="ListParagraph"/>
              <w:numPr>
                <w:ilvl w:val="0"/>
                <w:numId w:val="16"/>
              </w:numPr>
              <w:tabs>
                <w:tab w:val="num" w:pos="263"/>
              </w:tabs>
              <w:ind w:left="263" w:hanging="263"/>
              <w:jc w:val="both"/>
              <w:rPr>
                <w:sz w:val="16"/>
                <w:szCs w:val="16"/>
              </w:rPr>
            </w:pPr>
            <w:r w:rsidRPr="006D7C7F">
              <w:rPr>
                <w:sz w:val="16"/>
                <w:szCs w:val="16"/>
              </w:rPr>
              <w:t>Existing individual schedule - FISH MEAL (FISH SCRAP), STABILIZED UN 2216 Anti-oxidant treated is deleted. (alignment of the stabilization requirements for fish meal with the IMDG Code, and classification as MHB (SH) instead of class 9).</w:t>
            </w:r>
          </w:p>
          <w:p w:rsidR="00302162" w:rsidRPr="006D7C7F" w:rsidRDefault="00302162" w:rsidP="00302162">
            <w:pPr>
              <w:pStyle w:val="ListParagraph"/>
              <w:ind w:left="263"/>
              <w:jc w:val="both"/>
              <w:rPr>
                <w:sz w:val="16"/>
                <w:szCs w:val="16"/>
              </w:rPr>
            </w:pPr>
          </w:p>
          <w:p w:rsidR="00302162" w:rsidRDefault="00302162" w:rsidP="00302162">
            <w:pPr>
              <w:pStyle w:val="ListParagraph"/>
              <w:numPr>
                <w:ilvl w:val="0"/>
                <w:numId w:val="16"/>
              </w:numPr>
              <w:tabs>
                <w:tab w:val="num" w:pos="263"/>
              </w:tabs>
              <w:ind w:left="263" w:hanging="263"/>
              <w:jc w:val="both"/>
              <w:rPr>
                <w:sz w:val="16"/>
                <w:szCs w:val="16"/>
              </w:rPr>
            </w:pPr>
            <w:r w:rsidRPr="006D7C7F">
              <w:rPr>
                <w:sz w:val="16"/>
                <w:szCs w:val="16"/>
              </w:rPr>
              <w:t xml:space="preserve">The amendments (07-23) also expressly identified “bulk density (as required by SOLAS regulation XII/10)” as one of the cargo </w:t>
            </w:r>
            <w:r>
              <w:rPr>
                <w:sz w:val="16"/>
                <w:szCs w:val="16"/>
              </w:rPr>
              <w:t>information</w:t>
            </w:r>
            <w:r w:rsidRPr="006D7C7F">
              <w:rPr>
                <w:sz w:val="16"/>
                <w:szCs w:val="16"/>
              </w:rPr>
              <w:t xml:space="preserve"> which needs to be provided by shippers to ships before loading.</w:t>
            </w:r>
          </w:p>
          <w:p w:rsidR="00302162" w:rsidRPr="00F42AD2" w:rsidRDefault="00302162" w:rsidP="00302162">
            <w:pPr>
              <w:pStyle w:val="ListParagraph"/>
              <w:rPr>
                <w:sz w:val="16"/>
                <w:szCs w:val="16"/>
              </w:rPr>
            </w:pPr>
          </w:p>
          <w:p w:rsidR="00302162" w:rsidRDefault="00302162" w:rsidP="00302162">
            <w:pPr>
              <w:pStyle w:val="ListParagraph"/>
              <w:numPr>
                <w:ilvl w:val="0"/>
                <w:numId w:val="16"/>
              </w:numPr>
              <w:tabs>
                <w:tab w:val="num" w:pos="263"/>
              </w:tabs>
              <w:ind w:left="263" w:hanging="263"/>
              <w:jc w:val="both"/>
              <w:rPr>
                <w:sz w:val="16"/>
                <w:szCs w:val="16"/>
              </w:rPr>
            </w:pPr>
            <w:r w:rsidRPr="00E21B90">
              <w:rPr>
                <w:sz w:val="16"/>
                <w:szCs w:val="16"/>
              </w:rPr>
              <w:t>MSC.1/Circ.1395/Rev.</w:t>
            </w:r>
            <w:r>
              <w:rPr>
                <w:sz w:val="16"/>
                <w:szCs w:val="16"/>
              </w:rPr>
              <w:t>6 w</w:t>
            </w:r>
            <w:r w:rsidR="009B2746">
              <w:rPr>
                <w:sz w:val="16"/>
                <w:szCs w:val="16"/>
              </w:rPr>
              <w:t>as</w:t>
            </w:r>
            <w:r>
              <w:rPr>
                <w:sz w:val="16"/>
                <w:szCs w:val="16"/>
              </w:rPr>
              <w:t xml:space="preserve"> adopted</w:t>
            </w:r>
            <w:r w:rsidRPr="00E21B90">
              <w:rPr>
                <w:sz w:val="16"/>
                <w:szCs w:val="16"/>
              </w:rPr>
              <w:t xml:space="preserve"> – Lists of solid bulk cargoes for which a fixed gas fire extinguishing system may be exempted or for which a fixed gas fire extinguishing system is ineffective. </w:t>
            </w:r>
          </w:p>
          <w:p w:rsidR="00302162" w:rsidRDefault="00302162" w:rsidP="00302162">
            <w:pPr>
              <w:pStyle w:val="ListParagraph"/>
              <w:ind w:left="263"/>
              <w:jc w:val="both"/>
              <w:rPr>
                <w:sz w:val="16"/>
                <w:szCs w:val="16"/>
              </w:rPr>
            </w:pPr>
          </w:p>
          <w:p w:rsidR="00302162" w:rsidRDefault="00302162" w:rsidP="00302162">
            <w:pPr>
              <w:pStyle w:val="ListParagraph"/>
              <w:ind w:left="263"/>
              <w:jc w:val="both"/>
              <w:rPr>
                <w:sz w:val="16"/>
                <w:szCs w:val="16"/>
              </w:rPr>
            </w:pPr>
            <w:r>
              <w:rPr>
                <w:sz w:val="16"/>
                <w:szCs w:val="16"/>
              </w:rPr>
              <w:t>F</w:t>
            </w:r>
            <w:r w:rsidRPr="00E21B90">
              <w:rPr>
                <w:sz w:val="16"/>
                <w:szCs w:val="16"/>
              </w:rPr>
              <w:t xml:space="preserve">ollowing new cargo </w:t>
            </w:r>
            <w:r>
              <w:rPr>
                <w:sz w:val="16"/>
                <w:szCs w:val="16"/>
              </w:rPr>
              <w:t xml:space="preserve">is </w:t>
            </w:r>
            <w:r w:rsidRPr="00E21B90">
              <w:rPr>
                <w:sz w:val="16"/>
                <w:szCs w:val="16"/>
              </w:rPr>
              <w:t>added in MSC.1/Circ.1395/Rev.</w:t>
            </w:r>
            <w:r>
              <w:rPr>
                <w:sz w:val="16"/>
                <w:szCs w:val="16"/>
              </w:rPr>
              <w:t>6</w:t>
            </w:r>
          </w:p>
          <w:p w:rsidR="00302162" w:rsidRDefault="00302162" w:rsidP="00302162">
            <w:pPr>
              <w:pStyle w:val="ListParagraph"/>
              <w:ind w:left="263"/>
              <w:jc w:val="both"/>
              <w:rPr>
                <w:sz w:val="16"/>
                <w:szCs w:val="16"/>
              </w:rPr>
            </w:pPr>
          </w:p>
          <w:p w:rsidR="00302162" w:rsidRDefault="00302162" w:rsidP="00302162">
            <w:pPr>
              <w:pStyle w:val="ListParagraph"/>
              <w:numPr>
                <w:ilvl w:val="0"/>
                <w:numId w:val="21"/>
              </w:numPr>
              <w:ind w:left="457" w:hanging="142"/>
              <w:jc w:val="both"/>
              <w:rPr>
                <w:sz w:val="16"/>
                <w:szCs w:val="16"/>
              </w:rPr>
            </w:pPr>
            <w:r w:rsidRPr="008F254D">
              <w:rPr>
                <w:sz w:val="16"/>
                <w:szCs w:val="16"/>
              </w:rPr>
              <w:t>ELECTRIC ARC FURNACE DUST, PELLETIZED</w:t>
            </w:r>
          </w:p>
          <w:p w:rsidR="00302162" w:rsidRDefault="00302162" w:rsidP="00302162">
            <w:pPr>
              <w:pStyle w:val="ListParagraph"/>
              <w:ind w:left="263"/>
              <w:jc w:val="both"/>
              <w:rPr>
                <w:b/>
                <w:bCs/>
                <w:sz w:val="16"/>
                <w:szCs w:val="16"/>
              </w:rPr>
            </w:pPr>
          </w:p>
          <w:p w:rsidR="00302162" w:rsidRDefault="00302162" w:rsidP="00302162">
            <w:pPr>
              <w:rPr>
                <w:b/>
                <w:bCs/>
                <w:sz w:val="16"/>
                <w:szCs w:val="16"/>
              </w:rPr>
            </w:pPr>
            <w:r>
              <w:rPr>
                <w:b/>
                <w:bCs/>
                <w:sz w:val="16"/>
                <w:szCs w:val="16"/>
              </w:rPr>
              <w:t xml:space="preserve">Where a vessel intends to carry any of above cargo(es) and seeks exemption from a fixed gas fire extinguishing system, IRS may be contacted for issuance of necessary exemption certificate in </w:t>
            </w:r>
            <w:r>
              <w:rPr>
                <w:b/>
                <w:bCs/>
                <w:sz w:val="16"/>
                <w:szCs w:val="16"/>
              </w:rPr>
              <w:lastRenderedPageBreak/>
              <w:t>concurrence with the Flag Administration.</w:t>
            </w:r>
            <w:r w:rsidRPr="00E97CEF">
              <w:rPr>
                <w:b/>
                <w:bCs/>
                <w:sz w:val="16"/>
                <w:szCs w:val="16"/>
              </w:rPr>
              <w:t xml:space="preserve"> </w:t>
            </w:r>
          </w:p>
          <w:p w:rsidR="00302162" w:rsidRDefault="00302162" w:rsidP="00302162">
            <w:pPr>
              <w:rPr>
                <w:b/>
                <w:bCs/>
                <w:sz w:val="16"/>
                <w:szCs w:val="16"/>
              </w:rPr>
            </w:pPr>
          </w:p>
          <w:p w:rsidR="00302162" w:rsidRDefault="00302162" w:rsidP="00302162">
            <w:pPr>
              <w:jc w:val="both"/>
              <w:rPr>
                <w:rFonts w:eastAsia="TT15Ct00" w:cs="TT15Ct00"/>
                <w:sz w:val="16"/>
                <w:szCs w:val="16"/>
              </w:rPr>
            </w:pPr>
            <w:r>
              <w:rPr>
                <w:rFonts w:eastAsia="TT15Ct00" w:cs="TT15Ct00"/>
                <w:b/>
                <w:sz w:val="16"/>
                <w:szCs w:val="16"/>
                <w:lang w:val="en-IN"/>
              </w:rPr>
              <w:t>For details, refer IRS Technical Circular No. 037/2023, dated 06 November 2023.</w:t>
            </w:r>
          </w:p>
          <w:p w:rsidR="00302162" w:rsidRPr="004748F6" w:rsidRDefault="00302162" w:rsidP="00302162">
            <w:pPr>
              <w:rPr>
                <w:b/>
                <w:sz w:val="16"/>
                <w:szCs w:val="16"/>
              </w:rPr>
            </w:pPr>
          </w:p>
        </w:tc>
      </w:tr>
      <w:tr w:rsidR="006F5D70" w:rsidRPr="00202825" w:rsidTr="00DF5E62">
        <w:trPr>
          <w:trHeight w:val="975"/>
        </w:trPr>
        <w:tc>
          <w:tcPr>
            <w:tcW w:w="443" w:type="dxa"/>
          </w:tcPr>
          <w:p w:rsidR="006F5D70" w:rsidRDefault="006F5D70" w:rsidP="006F5D70">
            <w:pPr>
              <w:jc w:val="both"/>
              <w:rPr>
                <w:sz w:val="16"/>
                <w:szCs w:val="16"/>
              </w:rPr>
            </w:pPr>
            <w:r>
              <w:rPr>
                <w:sz w:val="16"/>
                <w:szCs w:val="16"/>
              </w:rPr>
              <w:lastRenderedPageBreak/>
              <w:t>3</w:t>
            </w:r>
          </w:p>
        </w:tc>
        <w:tc>
          <w:tcPr>
            <w:tcW w:w="1100" w:type="dxa"/>
          </w:tcPr>
          <w:p w:rsidR="006F5D70" w:rsidRPr="004B3C3C" w:rsidRDefault="006F5D70" w:rsidP="006F5D70">
            <w:pPr>
              <w:rPr>
                <w:sz w:val="16"/>
                <w:szCs w:val="16"/>
              </w:rPr>
            </w:pPr>
            <w:r>
              <w:rPr>
                <w:sz w:val="16"/>
                <w:szCs w:val="16"/>
              </w:rPr>
              <w:t>BWM Convention, Appendix II</w:t>
            </w:r>
          </w:p>
        </w:tc>
        <w:tc>
          <w:tcPr>
            <w:tcW w:w="1180" w:type="dxa"/>
          </w:tcPr>
          <w:p w:rsidR="006F5D70" w:rsidRDefault="006F5D70" w:rsidP="006F5D70">
            <w:pPr>
              <w:rPr>
                <w:sz w:val="16"/>
                <w:szCs w:val="16"/>
              </w:rPr>
            </w:pPr>
            <w:r>
              <w:rPr>
                <w:sz w:val="16"/>
                <w:szCs w:val="16"/>
              </w:rPr>
              <w:t>MEPC 369 (80)</w:t>
            </w:r>
          </w:p>
        </w:tc>
        <w:tc>
          <w:tcPr>
            <w:tcW w:w="963" w:type="dxa"/>
            <w:tcBorders>
              <w:left w:val="single" w:sz="6" w:space="0" w:color="6E6E6E"/>
              <w:bottom w:val="single" w:sz="6" w:space="0" w:color="6E6E6E"/>
            </w:tcBorders>
          </w:tcPr>
          <w:p w:rsidR="006F5D70" w:rsidRPr="004B3C3C" w:rsidRDefault="006F5D70" w:rsidP="006F5D70">
            <w:pPr>
              <w:rPr>
                <w:sz w:val="16"/>
                <w:szCs w:val="16"/>
              </w:rPr>
            </w:pPr>
            <w:r w:rsidRPr="001652A8">
              <w:rPr>
                <w:sz w:val="16"/>
                <w:szCs w:val="16"/>
              </w:rPr>
              <w:t>All</w:t>
            </w:r>
          </w:p>
        </w:tc>
        <w:tc>
          <w:tcPr>
            <w:tcW w:w="1021" w:type="dxa"/>
            <w:tcBorders>
              <w:left w:val="single" w:sz="6" w:space="0" w:color="6E6E6E"/>
              <w:bottom w:val="single" w:sz="6" w:space="0" w:color="6E6E6E"/>
            </w:tcBorders>
          </w:tcPr>
          <w:p w:rsidR="006F5D70" w:rsidRPr="004B3C3C" w:rsidRDefault="006F5D70" w:rsidP="006F5D70">
            <w:pPr>
              <w:rPr>
                <w:sz w:val="16"/>
                <w:szCs w:val="16"/>
              </w:rPr>
            </w:pPr>
            <w:r w:rsidRPr="001652A8">
              <w:rPr>
                <w:sz w:val="16"/>
                <w:szCs w:val="16"/>
              </w:rPr>
              <w:t>All</w:t>
            </w:r>
          </w:p>
        </w:tc>
        <w:tc>
          <w:tcPr>
            <w:tcW w:w="1128" w:type="dxa"/>
            <w:tcBorders>
              <w:left w:val="single" w:sz="6" w:space="0" w:color="6E6E6E"/>
              <w:bottom w:val="single" w:sz="6" w:space="0" w:color="6E6E6E"/>
            </w:tcBorders>
          </w:tcPr>
          <w:p w:rsidR="006F5D70" w:rsidRPr="004B3C3C" w:rsidRDefault="006F5D70" w:rsidP="006F5D70">
            <w:pPr>
              <w:pStyle w:val="ListParagraph"/>
              <w:tabs>
                <w:tab w:val="left" w:pos="174"/>
              </w:tabs>
              <w:ind w:left="84"/>
              <w:rPr>
                <w:sz w:val="16"/>
                <w:szCs w:val="16"/>
              </w:rPr>
            </w:pPr>
            <w:r>
              <w:rPr>
                <w:sz w:val="16"/>
                <w:szCs w:val="16"/>
              </w:rPr>
              <w:t>01</w:t>
            </w:r>
            <w:r w:rsidRPr="001652A8">
              <w:rPr>
                <w:sz w:val="16"/>
                <w:szCs w:val="16"/>
              </w:rPr>
              <w:t xml:space="preserve"> </w:t>
            </w:r>
            <w:r>
              <w:rPr>
                <w:sz w:val="16"/>
                <w:szCs w:val="16"/>
              </w:rPr>
              <w:t>February</w:t>
            </w:r>
            <w:r w:rsidRPr="001652A8">
              <w:rPr>
                <w:sz w:val="16"/>
                <w:szCs w:val="16"/>
              </w:rPr>
              <w:t xml:space="preserve"> 202</w:t>
            </w:r>
            <w:r>
              <w:rPr>
                <w:sz w:val="16"/>
                <w:szCs w:val="16"/>
              </w:rPr>
              <w:t>5</w:t>
            </w:r>
          </w:p>
        </w:tc>
        <w:tc>
          <w:tcPr>
            <w:tcW w:w="999" w:type="dxa"/>
            <w:tcBorders>
              <w:left w:val="single" w:sz="6" w:space="0" w:color="6E6E6E"/>
              <w:bottom w:val="single" w:sz="6" w:space="0" w:color="6E6E6E"/>
            </w:tcBorders>
          </w:tcPr>
          <w:p w:rsidR="006F5D70" w:rsidRPr="004B3C3C" w:rsidRDefault="006F5D70" w:rsidP="006F5D70">
            <w:pPr>
              <w:rPr>
                <w:sz w:val="16"/>
                <w:szCs w:val="16"/>
              </w:rPr>
            </w:pPr>
            <w:r w:rsidRPr="001652A8">
              <w:rPr>
                <w:sz w:val="16"/>
                <w:szCs w:val="16"/>
              </w:rPr>
              <w:t>All</w:t>
            </w:r>
          </w:p>
        </w:tc>
        <w:tc>
          <w:tcPr>
            <w:tcW w:w="992" w:type="dxa"/>
            <w:tcBorders>
              <w:left w:val="single" w:sz="6" w:space="0" w:color="6E6E6E"/>
              <w:bottom w:val="single" w:sz="6" w:space="0" w:color="6E6E6E"/>
            </w:tcBorders>
          </w:tcPr>
          <w:p w:rsidR="006F5D70" w:rsidRPr="004B3C3C" w:rsidRDefault="006F5D70" w:rsidP="006F5D70">
            <w:pPr>
              <w:rPr>
                <w:sz w:val="16"/>
                <w:szCs w:val="16"/>
              </w:rPr>
            </w:pPr>
            <w:r w:rsidRPr="001652A8">
              <w:rPr>
                <w:sz w:val="16"/>
                <w:szCs w:val="16"/>
              </w:rPr>
              <w:t>All</w:t>
            </w:r>
          </w:p>
        </w:tc>
        <w:tc>
          <w:tcPr>
            <w:tcW w:w="1276" w:type="dxa"/>
            <w:tcBorders>
              <w:left w:val="single" w:sz="6" w:space="0" w:color="6E6E6E"/>
              <w:bottom w:val="single" w:sz="6" w:space="0" w:color="6E6E6E"/>
            </w:tcBorders>
          </w:tcPr>
          <w:p w:rsidR="006F5D70" w:rsidRPr="004B3C3C" w:rsidRDefault="006F5D70" w:rsidP="006F5D70">
            <w:pPr>
              <w:pStyle w:val="ListParagraph"/>
              <w:tabs>
                <w:tab w:val="left" w:pos="174"/>
              </w:tabs>
              <w:ind w:left="84"/>
              <w:rPr>
                <w:sz w:val="16"/>
                <w:szCs w:val="16"/>
              </w:rPr>
            </w:pPr>
            <w:r>
              <w:rPr>
                <w:sz w:val="16"/>
                <w:szCs w:val="16"/>
              </w:rPr>
              <w:t>01</w:t>
            </w:r>
            <w:r w:rsidRPr="001652A8">
              <w:rPr>
                <w:sz w:val="16"/>
                <w:szCs w:val="16"/>
              </w:rPr>
              <w:t xml:space="preserve"> </w:t>
            </w:r>
            <w:r>
              <w:rPr>
                <w:sz w:val="16"/>
                <w:szCs w:val="16"/>
              </w:rPr>
              <w:t>February</w:t>
            </w:r>
            <w:r w:rsidRPr="001652A8">
              <w:rPr>
                <w:sz w:val="16"/>
                <w:szCs w:val="16"/>
              </w:rPr>
              <w:t xml:space="preserve"> 202</w:t>
            </w:r>
            <w:r>
              <w:rPr>
                <w:sz w:val="16"/>
                <w:szCs w:val="16"/>
              </w:rPr>
              <w:t>5</w:t>
            </w:r>
          </w:p>
        </w:tc>
        <w:tc>
          <w:tcPr>
            <w:tcW w:w="6945" w:type="dxa"/>
          </w:tcPr>
          <w:p w:rsidR="006F5D70" w:rsidRPr="00361F55" w:rsidRDefault="006F5D70" w:rsidP="006F5D70">
            <w:pPr>
              <w:autoSpaceDE w:val="0"/>
              <w:autoSpaceDN w:val="0"/>
              <w:adjustRightInd w:val="0"/>
              <w:rPr>
                <w:rFonts w:eastAsia="TT15Ct00" w:cs="TT15Ct00"/>
                <w:b/>
                <w:sz w:val="16"/>
                <w:szCs w:val="16"/>
                <w:lang w:val="en-IN"/>
              </w:rPr>
            </w:pPr>
            <w:r w:rsidRPr="00361F55">
              <w:rPr>
                <w:rFonts w:eastAsia="TT15Ct00" w:cs="TT15Ct00"/>
                <w:b/>
                <w:sz w:val="16"/>
                <w:szCs w:val="16"/>
                <w:lang w:val="en-IN"/>
              </w:rPr>
              <w:t>Amendments to the format of Ballast Water Record Book</w:t>
            </w:r>
            <w:r w:rsidR="00A776A1">
              <w:rPr>
                <w:rFonts w:eastAsia="TT15Ct00" w:cs="TT15Ct00"/>
                <w:b/>
                <w:sz w:val="16"/>
                <w:szCs w:val="16"/>
                <w:lang w:val="en-IN"/>
              </w:rPr>
              <w:t xml:space="preserve"> (BWRB):</w:t>
            </w:r>
          </w:p>
          <w:p w:rsidR="006F5D70" w:rsidRPr="00361F55" w:rsidRDefault="006F5D70" w:rsidP="006F5D70">
            <w:pPr>
              <w:autoSpaceDE w:val="0"/>
              <w:autoSpaceDN w:val="0"/>
              <w:adjustRightInd w:val="0"/>
              <w:jc w:val="both"/>
              <w:rPr>
                <w:rFonts w:eastAsia="TT15Ct00" w:cs="TT15Ct00"/>
                <w:sz w:val="16"/>
                <w:szCs w:val="16"/>
                <w:lang w:val="en-IN"/>
              </w:rPr>
            </w:pPr>
          </w:p>
          <w:p w:rsidR="006F5D70" w:rsidRDefault="006F5D70" w:rsidP="006F5D70">
            <w:pPr>
              <w:autoSpaceDE w:val="0"/>
              <w:autoSpaceDN w:val="0"/>
              <w:adjustRightInd w:val="0"/>
              <w:jc w:val="both"/>
              <w:rPr>
                <w:rFonts w:eastAsia="TT15Ct00" w:cs="TT15Ct00"/>
                <w:sz w:val="16"/>
                <w:szCs w:val="16"/>
                <w:lang w:val="en-IN"/>
              </w:rPr>
            </w:pPr>
            <w:r w:rsidRPr="00361F55">
              <w:rPr>
                <w:rFonts w:eastAsia="TT15Ct00" w:cs="TT15Ct00"/>
                <w:sz w:val="16"/>
                <w:szCs w:val="16"/>
                <w:lang w:val="en-IN"/>
              </w:rPr>
              <w:t xml:space="preserve">Amendments to the form used for BWRB set out in Appendix II of the Ballast Water Management Convention and a guidance providing sample entries of an amended BWRB </w:t>
            </w:r>
            <w:r>
              <w:rPr>
                <w:rFonts w:eastAsia="TT15Ct00" w:cs="TT15Ct00"/>
                <w:sz w:val="16"/>
                <w:szCs w:val="16"/>
                <w:lang w:val="en-IN"/>
              </w:rPr>
              <w:t>were</w:t>
            </w:r>
            <w:r w:rsidRPr="00361F55">
              <w:rPr>
                <w:rFonts w:eastAsia="TT15Ct00" w:cs="TT15Ct00"/>
                <w:sz w:val="16"/>
                <w:szCs w:val="16"/>
                <w:lang w:val="en-IN"/>
              </w:rPr>
              <w:t xml:space="preserve"> adopted. </w:t>
            </w:r>
          </w:p>
          <w:p w:rsidR="006F5D70" w:rsidRDefault="006F5D70" w:rsidP="006F5D70">
            <w:pPr>
              <w:autoSpaceDE w:val="0"/>
              <w:autoSpaceDN w:val="0"/>
              <w:adjustRightInd w:val="0"/>
              <w:jc w:val="both"/>
              <w:rPr>
                <w:rFonts w:eastAsia="TT15Ct00" w:cs="TT15Ct00"/>
                <w:sz w:val="16"/>
                <w:szCs w:val="16"/>
                <w:lang w:val="en-IN"/>
              </w:rPr>
            </w:pPr>
          </w:p>
          <w:p w:rsidR="006F5D70" w:rsidRDefault="006F5D70" w:rsidP="006F5D70">
            <w:pPr>
              <w:autoSpaceDE w:val="0"/>
              <w:autoSpaceDN w:val="0"/>
              <w:adjustRightInd w:val="0"/>
              <w:jc w:val="both"/>
              <w:rPr>
                <w:rFonts w:eastAsia="TT15Ct00" w:cs="TT15Ct00"/>
                <w:sz w:val="16"/>
                <w:szCs w:val="16"/>
              </w:rPr>
            </w:pPr>
            <w:r w:rsidRPr="00FB2939">
              <w:rPr>
                <w:rFonts w:eastAsia="TT15Ct00" w:cs="TT15Ct00"/>
                <w:b/>
                <w:bCs/>
                <w:sz w:val="16"/>
                <w:szCs w:val="16"/>
                <w:lang w:val="en-IN"/>
              </w:rPr>
              <w:t xml:space="preserve">On or after the effective date, the amended BWRB </w:t>
            </w:r>
            <w:r w:rsidR="009B2746" w:rsidRPr="00FB2939">
              <w:rPr>
                <w:rFonts w:eastAsia="TT15Ct00" w:cs="TT15Ct00"/>
                <w:b/>
                <w:bCs/>
                <w:sz w:val="16"/>
                <w:szCs w:val="16"/>
                <w:lang w:val="en-IN"/>
              </w:rPr>
              <w:t>is to</w:t>
            </w:r>
            <w:r w:rsidRPr="00FB2939">
              <w:rPr>
                <w:rFonts w:eastAsia="TT15Ct00" w:cs="TT15Ct00"/>
                <w:b/>
                <w:bCs/>
                <w:sz w:val="16"/>
                <w:szCs w:val="16"/>
                <w:lang w:val="en-IN"/>
              </w:rPr>
              <w:t xml:space="preserve"> be used to record ballast water management in accordance with this guidance.</w:t>
            </w:r>
            <w:r>
              <w:rPr>
                <w:rFonts w:eastAsia="TT15Ct00" w:cs="TT15Ct00"/>
                <w:sz w:val="16"/>
                <w:szCs w:val="16"/>
                <w:lang w:val="en-IN"/>
              </w:rPr>
              <w:t xml:space="preserve"> Same will be verified by the Surveyors at the </w:t>
            </w:r>
            <w:r w:rsidRPr="00361F55">
              <w:rPr>
                <w:rFonts w:eastAsia="TT15Ct00" w:cs="TT15Ct00"/>
                <w:sz w:val="16"/>
                <w:szCs w:val="16"/>
              </w:rPr>
              <w:t>first periodical survey for the Ballast Water Management Convention on or after the effective date</w:t>
            </w:r>
            <w:r w:rsidR="00A776A1">
              <w:rPr>
                <w:rFonts w:eastAsia="TT15Ct00" w:cs="TT15Ct00"/>
                <w:sz w:val="16"/>
                <w:szCs w:val="16"/>
              </w:rPr>
              <w:t xml:space="preserve"> (01 February 2025)</w:t>
            </w:r>
            <w:r>
              <w:rPr>
                <w:rFonts w:eastAsia="TT15Ct00" w:cs="TT15Ct00"/>
                <w:sz w:val="16"/>
                <w:szCs w:val="16"/>
              </w:rPr>
              <w:t>.</w:t>
            </w:r>
            <w:r w:rsidRPr="00361F55">
              <w:rPr>
                <w:rFonts w:eastAsia="TT15Ct00" w:cs="TT15Ct00"/>
                <w:sz w:val="16"/>
                <w:szCs w:val="16"/>
              </w:rPr>
              <w:t xml:space="preserve"> </w:t>
            </w:r>
          </w:p>
          <w:p w:rsidR="006F5D70" w:rsidRDefault="006F5D70" w:rsidP="006F5D70">
            <w:pPr>
              <w:autoSpaceDE w:val="0"/>
              <w:autoSpaceDN w:val="0"/>
              <w:adjustRightInd w:val="0"/>
              <w:jc w:val="both"/>
              <w:rPr>
                <w:rFonts w:eastAsia="TT15Ct00" w:cs="TT15Ct00"/>
                <w:sz w:val="16"/>
                <w:szCs w:val="16"/>
              </w:rPr>
            </w:pPr>
          </w:p>
          <w:p w:rsidR="006F5D70" w:rsidRDefault="006F5D70" w:rsidP="006F5D70">
            <w:pPr>
              <w:autoSpaceDE w:val="0"/>
              <w:autoSpaceDN w:val="0"/>
              <w:adjustRightInd w:val="0"/>
              <w:jc w:val="both"/>
              <w:rPr>
                <w:rFonts w:eastAsia="TT15Ct00" w:cs="TT15Ct00"/>
                <w:sz w:val="16"/>
                <w:szCs w:val="16"/>
              </w:rPr>
            </w:pPr>
            <w:r w:rsidRPr="00361F55">
              <w:rPr>
                <w:rFonts w:eastAsia="TT15Ct00" w:cs="TT15Ct00"/>
                <w:sz w:val="16"/>
                <w:szCs w:val="16"/>
              </w:rPr>
              <w:t xml:space="preserve">The BWRB </w:t>
            </w:r>
            <w:r>
              <w:rPr>
                <w:rFonts w:eastAsia="TT15Ct00" w:cs="TT15Ct00"/>
                <w:sz w:val="16"/>
                <w:szCs w:val="16"/>
              </w:rPr>
              <w:t>is to</w:t>
            </w:r>
            <w:r w:rsidRPr="00361F55">
              <w:rPr>
                <w:rFonts w:eastAsia="TT15Ct00" w:cs="TT15Ct00"/>
                <w:sz w:val="16"/>
                <w:szCs w:val="16"/>
              </w:rPr>
              <w:t xml:space="preserve"> be maintained on board the ship for a minimum period of two years after the last entry has been made and </w:t>
            </w:r>
            <w:r w:rsidR="00A776A1">
              <w:rPr>
                <w:rFonts w:eastAsia="TT15Ct00" w:cs="TT15Ct00"/>
                <w:sz w:val="16"/>
                <w:szCs w:val="16"/>
              </w:rPr>
              <w:t xml:space="preserve">to </w:t>
            </w:r>
            <w:r w:rsidRPr="00361F55">
              <w:rPr>
                <w:rFonts w:eastAsia="TT15Ct00" w:cs="TT15Ct00"/>
                <w:sz w:val="16"/>
                <w:szCs w:val="16"/>
              </w:rPr>
              <w:t xml:space="preserve">remain thereafter in the Company's control for a minimum period of three years. </w:t>
            </w:r>
          </w:p>
          <w:p w:rsidR="006F5D70" w:rsidRPr="004748F6" w:rsidRDefault="006F5D70" w:rsidP="006F5D70">
            <w:pPr>
              <w:rPr>
                <w:b/>
                <w:sz w:val="16"/>
                <w:szCs w:val="16"/>
              </w:rPr>
            </w:pPr>
          </w:p>
        </w:tc>
      </w:tr>
      <w:tr w:rsidR="006F5D70" w:rsidRPr="00202825" w:rsidTr="00EC30E3">
        <w:trPr>
          <w:trHeight w:val="3379"/>
        </w:trPr>
        <w:tc>
          <w:tcPr>
            <w:tcW w:w="443" w:type="dxa"/>
          </w:tcPr>
          <w:p w:rsidR="006F5D70" w:rsidRDefault="00335DA8" w:rsidP="006F5D70">
            <w:pPr>
              <w:jc w:val="both"/>
              <w:rPr>
                <w:sz w:val="16"/>
                <w:szCs w:val="16"/>
              </w:rPr>
            </w:pPr>
            <w:r>
              <w:rPr>
                <w:sz w:val="16"/>
                <w:szCs w:val="16"/>
              </w:rPr>
              <w:t>4</w:t>
            </w:r>
          </w:p>
        </w:tc>
        <w:tc>
          <w:tcPr>
            <w:tcW w:w="1100" w:type="dxa"/>
          </w:tcPr>
          <w:p w:rsidR="006F5D70" w:rsidRDefault="006F5D70" w:rsidP="006F5D70">
            <w:pPr>
              <w:rPr>
                <w:sz w:val="16"/>
                <w:szCs w:val="16"/>
              </w:rPr>
            </w:pPr>
            <w:r>
              <w:rPr>
                <w:sz w:val="16"/>
                <w:szCs w:val="16"/>
              </w:rPr>
              <w:t>MARPOL Annex VI, Reg. 27, Appendix IX</w:t>
            </w:r>
          </w:p>
        </w:tc>
        <w:tc>
          <w:tcPr>
            <w:tcW w:w="1180" w:type="dxa"/>
          </w:tcPr>
          <w:p w:rsidR="006F5D70" w:rsidRDefault="006F5D70" w:rsidP="006F5D70">
            <w:pPr>
              <w:jc w:val="both"/>
              <w:rPr>
                <w:sz w:val="16"/>
                <w:szCs w:val="16"/>
              </w:rPr>
            </w:pPr>
            <w:r>
              <w:rPr>
                <w:sz w:val="16"/>
                <w:szCs w:val="16"/>
              </w:rPr>
              <w:t>MEPC. 385(81)</w:t>
            </w:r>
          </w:p>
          <w:p w:rsidR="00F04E67" w:rsidRDefault="00F04E67" w:rsidP="00F04E67">
            <w:pPr>
              <w:jc w:val="both"/>
              <w:rPr>
                <w:sz w:val="16"/>
                <w:szCs w:val="16"/>
              </w:rPr>
            </w:pPr>
            <w:r>
              <w:rPr>
                <w:sz w:val="16"/>
                <w:szCs w:val="16"/>
              </w:rPr>
              <w:t>MEPC.1/Circ. 913</w:t>
            </w:r>
          </w:p>
          <w:p w:rsidR="00F04E67" w:rsidRDefault="00F04E67" w:rsidP="006F5D70">
            <w:pPr>
              <w:jc w:val="both"/>
              <w:rPr>
                <w:sz w:val="16"/>
                <w:szCs w:val="16"/>
              </w:rPr>
            </w:pPr>
          </w:p>
          <w:p w:rsidR="006F5D70" w:rsidRDefault="006F5D70" w:rsidP="006F5D70">
            <w:pPr>
              <w:rPr>
                <w:sz w:val="16"/>
                <w:szCs w:val="16"/>
              </w:rPr>
            </w:pPr>
          </w:p>
        </w:tc>
        <w:tc>
          <w:tcPr>
            <w:tcW w:w="963" w:type="dxa"/>
            <w:tcBorders>
              <w:left w:val="single" w:sz="6" w:space="0" w:color="6E6E6E"/>
              <w:bottom w:val="single" w:sz="6" w:space="0" w:color="6E6E6E"/>
            </w:tcBorders>
          </w:tcPr>
          <w:p w:rsidR="006F5D70" w:rsidRPr="001652A8" w:rsidRDefault="006F5D70" w:rsidP="006F5D70">
            <w:pPr>
              <w:rPr>
                <w:sz w:val="16"/>
                <w:szCs w:val="16"/>
              </w:rPr>
            </w:pPr>
            <w:r>
              <w:rPr>
                <w:rFonts w:eastAsia="TT15Ct00" w:cs="TT15Ct00"/>
                <w:sz w:val="16"/>
                <w:szCs w:val="16"/>
                <w:lang w:val="en-IN"/>
              </w:rPr>
              <w:t>All</w:t>
            </w:r>
          </w:p>
        </w:tc>
        <w:tc>
          <w:tcPr>
            <w:tcW w:w="1021" w:type="dxa"/>
            <w:tcBorders>
              <w:left w:val="single" w:sz="6" w:space="0" w:color="6E6E6E"/>
              <w:bottom w:val="single" w:sz="6" w:space="0" w:color="6E6E6E"/>
            </w:tcBorders>
          </w:tcPr>
          <w:p w:rsidR="006F5D70" w:rsidRPr="001652A8" w:rsidRDefault="006F5D70" w:rsidP="006F5D70">
            <w:pPr>
              <w:rPr>
                <w:sz w:val="16"/>
                <w:szCs w:val="16"/>
              </w:rPr>
            </w:pPr>
            <w:r>
              <w:rPr>
                <w:rFonts w:eastAsia="TT15Ct00" w:cs="TT15Ct00"/>
                <w:sz w:val="16"/>
                <w:szCs w:val="16"/>
                <w:lang w:val="en-IN"/>
              </w:rPr>
              <w:t>5</w:t>
            </w:r>
            <w:r w:rsidRPr="0036675D">
              <w:rPr>
                <w:rFonts w:eastAsia="TT15Ct00" w:cs="TT15Ct00"/>
                <w:sz w:val="16"/>
                <w:szCs w:val="16"/>
                <w:lang w:val="en-IN"/>
              </w:rPr>
              <w:t>,000</w:t>
            </w:r>
            <w:r>
              <w:rPr>
                <w:rFonts w:eastAsia="TT15Ct00" w:cs="TT15Ct00"/>
                <w:sz w:val="16"/>
                <w:szCs w:val="16"/>
                <w:lang w:val="en-IN"/>
              </w:rPr>
              <w:t xml:space="preserve"> </w:t>
            </w:r>
            <w:r w:rsidRPr="0036675D">
              <w:rPr>
                <w:rFonts w:eastAsia="TT15Ct00" w:cs="TT15Ct00"/>
                <w:sz w:val="16"/>
                <w:szCs w:val="16"/>
                <w:lang w:val="en-IN"/>
              </w:rPr>
              <w:t>GT and above</w:t>
            </w:r>
          </w:p>
        </w:tc>
        <w:tc>
          <w:tcPr>
            <w:tcW w:w="1128" w:type="dxa"/>
            <w:tcBorders>
              <w:left w:val="single" w:sz="6" w:space="0" w:color="6E6E6E"/>
              <w:bottom w:val="single" w:sz="6" w:space="0" w:color="6E6E6E"/>
            </w:tcBorders>
          </w:tcPr>
          <w:p w:rsidR="006F5D70" w:rsidRDefault="006F5D70" w:rsidP="006F5D70">
            <w:pPr>
              <w:pStyle w:val="ListParagraph"/>
              <w:tabs>
                <w:tab w:val="left" w:pos="174"/>
              </w:tabs>
              <w:ind w:left="84"/>
              <w:rPr>
                <w:rFonts w:eastAsia="TT15Ct00" w:cs="TT15Ct00"/>
                <w:sz w:val="16"/>
                <w:szCs w:val="16"/>
                <w:lang w:val="en-IN"/>
              </w:rPr>
            </w:pPr>
            <w:r w:rsidRPr="0036675D">
              <w:rPr>
                <w:rFonts w:eastAsia="TT15Ct00" w:cs="TT15Ct00"/>
                <w:sz w:val="16"/>
                <w:szCs w:val="16"/>
                <w:lang w:val="en-IN"/>
              </w:rPr>
              <w:t xml:space="preserve">1 </w:t>
            </w:r>
            <w:r>
              <w:rPr>
                <w:rFonts w:eastAsia="TT15Ct00" w:cs="TT15Ct00"/>
                <w:sz w:val="16"/>
                <w:szCs w:val="16"/>
                <w:lang w:val="en-IN"/>
              </w:rPr>
              <w:t>August</w:t>
            </w:r>
            <w:r w:rsidRPr="0036675D">
              <w:rPr>
                <w:rFonts w:eastAsia="TT15Ct00" w:cs="TT15Ct00"/>
                <w:sz w:val="16"/>
                <w:szCs w:val="16"/>
                <w:lang w:val="en-IN"/>
              </w:rPr>
              <w:t xml:space="preserve"> 202</w:t>
            </w:r>
            <w:r>
              <w:rPr>
                <w:rFonts w:eastAsia="TT15Ct00" w:cs="TT15Ct00"/>
                <w:sz w:val="16"/>
                <w:szCs w:val="16"/>
                <w:lang w:val="en-IN"/>
              </w:rPr>
              <w:t>5</w:t>
            </w:r>
          </w:p>
          <w:p w:rsidR="00A723AE" w:rsidRDefault="00A723AE" w:rsidP="006F5D70">
            <w:pPr>
              <w:pStyle w:val="ListParagraph"/>
              <w:tabs>
                <w:tab w:val="left" w:pos="174"/>
              </w:tabs>
              <w:ind w:left="84"/>
              <w:rPr>
                <w:sz w:val="16"/>
                <w:szCs w:val="16"/>
              </w:rPr>
            </w:pPr>
            <w:r w:rsidRPr="004B3C3C">
              <w:rPr>
                <w:sz w:val="16"/>
                <w:szCs w:val="16"/>
              </w:rPr>
              <w:t>Administrations may apply it on a voluntary basis as from 1 January 202</w:t>
            </w:r>
            <w:r>
              <w:rPr>
                <w:sz w:val="16"/>
                <w:szCs w:val="16"/>
              </w:rPr>
              <w:t>5</w:t>
            </w:r>
            <w:r w:rsidRPr="004B3C3C">
              <w:rPr>
                <w:sz w:val="16"/>
                <w:szCs w:val="16"/>
              </w:rPr>
              <w:t>.</w:t>
            </w:r>
          </w:p>
        </w:tc>
        <w:tc>
          <w:tcPr>
            <w:tcW w:w="999" w:type="dxa"/>
            <w:tcBorders>
              <w:left w:val="single" w:sz="6" w:space="0" w:color="6E6E6E"/>
              <w:bottom w:val="single" w:sz="6" w:space="0" w:color="6E6E6E"/>
            </w:tcBorders>
          </w:tcPr>
          <w:p w:rsidR="006F5D70" w:rsidRPr="001652A8" w:rsidRDefault="006F5D70" w:rsidP="006F5D70">
            <w:pPr>
              <w:rPr>
                <w:sz w:val="16"/>
                <w:szCs w:val="16"/>
              </w:rPr>
            </w:pPr>
            <w:r>
              <w:rPr>
                <w:rFonts w:eastAsia="TT15Ct00" w:cs="TT15Ct00"/>
                <w:sz w:val="16"/>
                <w:szCs w:val="16"/>
                <w:lang w:val="en-IN"/>
              </w:rPr>
              <w:t>All</w:t>
            </w:r>
          </w:p>
        </w:tc>
        <w:tc>
          <w:tcPr>
            <w:tcW w:w="992" w:type="dxa"/>
            <w:tcBorders>
              <w:left w:val="single" w:sz="6" w:space="0" w:color="6E6E6E"/>
              <w:bottom w:val="single" w:sz="6" w:space="0" w:color="6E6E6E"/>
            </w:tcBorders>
          </w:tcPr>
          <w:p w:rsidR="006F5D70" w:rsidRPr="001652A8" w:rsidRDefault="006F5D70" w:rsidP="006F5D70">
            <w:pPr>
              <w:rPr>
                <w:sz w:val="16"/>
                <w:szCs w:val="16"/>
              </w:rPr>
            </w:pPr>
            <w:r>
              <w:rPr>
                <w:rFonts w:eastAsia="TT15Ct00" w:cs="TT15Ct00"/>
                <w:sz w:val="16"/>
                <w:szCs w:val="16"/>
                <w:lang w:val="en-IN"/>
              </w:rPr>
              <w:t>5</w:t>
            </w:r>
            <w:r w:rsidRPr="0036675D">
              <w:rPr>
                <w:rFonts w:eastAsia="TT15Ct00" w:cs="TT15Ct00"/>
                <w:sz w:val="16"/>
                <w:szCs w:val="16"/>
                <w:lang w:val="en-IN"/>
              </w:rPr>
              <w:t>,000</w:t>
            </w:r>
            <w:r>
              <w:rPr>
                <w:rFonts w:eastAsia="TT15Ct00" w:cs="TT15Ct00"/>
                <w:sz w:val="16"/>
                <w:szCs w:val="16"/>
                <w:lang w:val="en-IN"/>
              </w:rPr>
              <w:t xml:space="preserve"> </w:t>
            </w:r>
            <w:r w:rsidRPr="0036675D">
              <w:rPr>
                <w:rFonts w:eastAsia="TT15Ct00" w:cs="TT15Ct00"/>
                <w:sz w:val="16"/>
                <w:szCs w:val="16"/>
                <w:lang w:val="en-IN"/>
              </w:rPr>
              <w:t>GT and above</w:t>
            </w:r>
          </w:p>
        </w:tc>
        <w:tc>
          <w:tcPr>
            <w:tcW w:w="1276" w:type="dxa"/>
            <w:tcBorders>
              <w:left w:val="single" w:sz="6" w:space="0" w:color="6E6E6E"/>
              <w:bottom w:val="single" w:sz="6" w:space="0" w:color="6E6E6E"/>
            </w:tcBorders>
          </w:tcPr>
          <w:p w:rsidR="006F5D70" w:rsidRDefault="006F5D70" w:rsidP="006F5D70">
            <w:pPr>
              <w:pStyle w:val="ListParagraph"/>
              <w:tabs>
                <w:tab w:val="left" w:pos="174"/>
              </w:tabs>
              <w:ind w:left="84"/>
              <w:rPr>
                <w:rFonts w:eastAsia="TT15Ct00" w:cs="TT15Ct00"/>
                <w:sz w:val="16"/>
                <w:szCs w:val="16"/>
                <w:lang w:val="en-IN"/>
              </w:rPr>
            </w:pPr>
            <w:r w:rsidRPr="0036675D">
              <w:rPr>
                <w:rFonts w:eastAsia="TT15Ct00" w:cs="TT15Ct00"/>
                <w:sz w:val="16"/>
                <w:szCs w:val="16"/>
                <w:lang w:val="en-IN"/>
              </w:rPr>
              <w:t xml:space="preserve">1 </w:t>
            </w:r>
            <w:r>
              <w:rPr>
                <w:rFonts w:eastAsia="TT15Ct00" w:cs="TT15Ct00"/>
                <w:sz w:val="16"/>
                <w:szCs w:val="16"/>
                <w:lang w:val="en-IN"/>
              </w:rPr>
              <w:t>August</w:t>
            </w:r>
            <w:r w:rsidRPr="0036675D">
              <w:rPr>
                <w:rFonts w:eastAsia="TT15Ct00" w:cs="TT15Ct00"/>
                <w:sz w:val="16"/>
                <w:szCs w:val="16"/>
                <w:lang w:val="en-IN"/>
              </w:rPr>
              <w:t xml:space="preserve"> 202</w:t>
            </w:r>
            <w:r>
              <w:rPr>
                <w:rFonts w:eastAsia="TT15Ct00" w:cs="TT15Ct00"/>
                <w:sz w:val="16"/>
                <w:szCs w:val="16"/>
                <w:lang w:val="en-IN"/>
              </w:rPr>
              <w:t>5</w:t>
            </w:r>
          </w:p>
          <w:p w:rsidR="00A723AE" w:rsidRDefault="00A723AE" w:rsidP="006F5D70">
            <w:pPr>
              <w:pStyle w:val="ListParagraph"/>
              <w:tabs>
                <w:tab w:val="left" w:pos="174"/>
              </w:tabs>
              <w:ind w:left="84"/>
              <w:rPr>
                <w:sz w:val="16"/>
                <w:szCs w:val="16"/>
              </w:rPr>
            </w:pPr>
            <w:r w:rsidRPr="004B3C3C">
              <w:rPr>
                <w:sz w:val="16"/>
                <w:szCs w:val="16"/>
              </w:rPr>
              <w:t>Administrations may apply it on a voluntary basis as from 1 January 202</w:t>
            </w:r>
            <w:r>
              <w:rPr>
                <w:sz w:val="16"/>
                <w:szCs w:val="16"/>
              </w:rPr>
              <w:t>5</w:t>
            </w:r>
            <w:r w:rsidRPr="004B3C3C">
              <w:rPr>
                <w:sz w:val="16"/>
                <w:szCs w:val="16"/>
              </w:rPr>
              <w:t>.</w:t>
            </w:r>
          </w:p>
        </w:tc>
        <w:tc>
          <w:tcPr>
            <w:tcW w:w="6945" w:type="dxa"/>
          </w:tcPr>
          <w:p w:rsidR="006F5D70" w:rsidRDefault="006F5D70" w:rsidP="006F5D70">
            <w:pPr>
              <w:autoSpaceDE w:val="0"/>
              <w:autoSpaceDN w:val="0"/>
              <w:adjustRightInd w:val="0"/>
              <w:jc w:val="both"/>
              <w:rPr>
                <w:rFonts w:eastAsia="TT15Ct00" w:cs="TT15Ct00"/>
                <w:b/>
                <w:sz w:val="16"/>
                <w:szCs w:val="16"/>
                <w:lang w:val="en-IN"/>
              </w:rPr>
            </w:pPr>
            <w:r w:rsidRPr="0052615F">
              <w:rPr>
                <w:rFonts w:eastAsia="TT15Ct00" w:cs="TT15Ct00"/>
                <w:b/>
                <w:sz w:val="16"/>
                <w:szCs w:val="16"/>
                <w:lang w:val="en-IN"/>
              </w:rPr>
              <w:t>Amendments to MARPOL Annex VI on IMO Ship Fuel Consumption Database (IMO DCS)</w:t>
            </w:r>
            <w:r w:rsidR="00D51394">
              <w:rPr>
                <w:rFonts w:eastAsia="TT15Ct00" w:cs="TT15Ct00"/>
                <w:b/>
                <w:sz w:val="16"/>
                <w:szCs w:val="16"/>
                <w:lang w:val="en-IN"/>
              </w:rPr>
              <w:t>:</w:t>
            </w:r>
          </w:p>
          <w:p w:rsidR="006F5D70" w:rsidRDefault="006F5D70" w:rsidP="006F5D70">
            <w:pPr>
              <w:autoSpaceDE w:val="0"/>
              <w:autoSpaceDN w:val="0"/>
              <w:adjustRightInd w:val="0"/>
              <w:jc w:val="both"/>
              <w:rPr>
                <w:rFonts w:eastAsia="TT15Ct00" w:cs="TT15Ct00"/>
                <w:b/>
                <w:sz w:val="16"/>
                <w:szCs w:val="16"/>
                <w:lang w:val="en-IN"/>
              </w:rPr>
            </w:pPr>
          </w:p>
          <w:p w:rsidR="006F5D70" w:rsidRDefault="006F5D70" w:rsidP="006F5D70">
            <w:pPr>
              <w:pStyle w:val="ListParagraph"/>
              <w:numPr>
                <w:ilvl w:val="0"/>
                <w:numId w:val="23"/>
              </w:numPr>
              <w:ind w:left="170" w:hanging="142"/>
              <w:jc w:val="both"/>
              <w:rPr>
                <w:sz w:val="16"/>
                <w:szCs w:val="16"/>
              </w:rPr>
            </w:pPr>
            <w:r w:rsidRPr="0040312D">
              <w:rPr>
                <w:sz w:val="16"/>
                <w:szCs w:val="16"/>
              </w:rPr>
              <w:t xml:space="preserve">The </w:t>
            </w:r>
            <w:r>
              <w:rPr>
                <w:sz w:val="16"/>
                <w:szCs w:val="16"/>
              </w:rPr>
              <w:t xml:space="preserve">IMO vide </w:t>
            </w:r>
            <w:r w:rsidRPr="0040312D">
              <w:rPr>
                <w:sz w:val="16"/>
                <w:szCs w:val="16"/>
              </w:rPr>
              <w:t>Resolution MEPC.385(81), adopted amendments to Appendix IX of MARPOL Annex VI</w:t>
            </w:r>
            <w:r>
              <w:rPr>
                <w:sz w:val="16"/>
                <w:szCs w:val="16"/>
              </w:rPr>
              <w:t xml:space="preserve"> –</w:t>
            </w:r>
            <w:r w:rsidRPr="0040312D">
              <w:rPr>
                <w:sz w:val="16"/>
                <w:szCs w:val="16"/>
              </w:rPr>
              <w:t xml:space="preserve"> </w:t>
            </w:r>
            <w:r>
              <w:rPr>
                <w:sz w:val="16"/>
                <w:szCs w:val="16"/>
              </w:rPr>
              <w:t>“</w:t>
            </w:r>
            <w:r w:rsidRPr="0040312D">
              <w:rPr>
                <w:sz w:val="16"/>
                <w:szCs w:val="16"/>
              </w:rPr>
              <w:t>Information to be submitted to the IMO Ship Fuel Oil Consumption Database (Regulation 27)</w:t>
            </w:r>
            <w:r>
              <w:rPr>
                <w:sz w:val="16"/>
                <w:szCs w:val="16"/>
              </w:rPr>
              <w:t>”</w:t>
            </w:r>
            <w:r w:rsidR="0090592A">
              <w:rPr>
                <w:sz w:val="16"/>
                <w:szCs w:val="16"/>
              </w:rPr>
              <w:t xml:space="preserve"> introducing increased data granularity requirements</w:t>
            </w:r>
            <w:r w:rsidRPr="0040312D">
              <w:rPr>
                <w:sz w:val="16"/>
                <w:szCs w:val="16"/>
              </w:rPr>
              <w:t xml:space="preserve">. </w:t>
            </w:r>
          </w:p>
          <w:p w:rsidR="0090592A" w:rsidRDefault="0090592A" w:rsidP="006F5D70">
            <w:pPr>
              <w:pStyle w:val="ListParagraph"/>
              <w:ind w:left="170"/>
              <w:jc w:val="both"/>
              <w:rPr>
                <w:sz w:val="16"/>
                <w:szCs w:val="16"/>
              </w:rPr>
            </w:pPr>
          </w:p>
          <w:p w:rsidR="006F5D70" w:rsidRDefault="006F5D70" w:rsidP="006F5D70">
            <w:pPr>
              <w:pStyle w:val="ListParagraph"/>
              <w:numPr>
                <w:ilvl w:val="0"/>
                <w:numId w:val="23"/>
              </w:numPr>
              <w:ind w:left="170" w:hanging="142"/>
              <w:jc w:val="both"/>
              <w:rPr>
                <w:sz w:val="16"/>
                <w:szCs w:val="16"/>
              </w:rPr>
            </w:pPr>
            <w:r w:rsidRPr="0040312D">
              <w:rPr>
                <w:sz w:val="16"/>
                <w:szCs w:val="16"/>
              </w:rPr>
              <w:t xml:space="preserve">These amendments make mandatory the reporting of the: </w:t>
            </w:r>
          </w:p>
          <w:p w:rsidR="006F5D70" w:rsidRPr="0040312D" w:rsidRDefault="006F5D70" w:rsidP="006F5D70">
            <w:pPr>
              <w:pStyle w:val="ListParagraph"/>
              <w:rPr>
                <w:sz w:val="16"/>
                <w:szCs w:val="16"/>
              </w:rPr>
            </w:pPr>
          </w:p>
          <w:p w:rsidR="006F5D70" w:rsidRDefault="006F5D70" w:rsidP="006F5D70">
            <w:pPr>
              <w:pStyle w:val="ListParagraph"/>
              <w:ind w:left="312" w:hanging="142"/>
              <w:jc w:val="both"/>
              <w:rPr>
                <w:sz w:val="16"/>
                <w:szCs w:val="16"/>
              </w:rPr>
            </w:pPr>
            <w:r w:rsidRPr="0040312D">
              <w:rPr>
                <w:sz w:val="16"/>
                <w:szCs w:val="16"/>
              </w:rPr>
              <w:t xml:space="preserve">• Fuel oil consumption per consumer type (Main engine(s), Auxiliary engine(s), Oil-fired boilers, and Others) </w:t>
            </w:r>
          </w:p>
          <w:p w:rsidR="006F5D70" w:rsidRDefault="006F5D70" w:rsidP="006F5D70">
            <w:pPr>
              <w:pStyle w:val="ListParagraph"/>
              <w:ind w:left="170"/>
              <w:jc w:val="both"/>
              <w:rPr>
                <w:sz w:val="16"/>
                <w:szCs w:val="16"/>
              </w:rPr>
            </w:pPr>
            <w:r w:rsidRPr="0040312D">
              <w:rPr>
                <w:sz w:val="16"/>
                <w:szCs w:val="16"/>
              </w:rPr>
              <w:t xml:space="preserve">• Total amount of onshore power supplied expressed in kWh </w:t>
            </w:r>
          </w:p>
          <w:p w:rsidR="006F5D70" w:rsidRDefault="006F5D70" w:rsidP="006F5D70">
            <w:pPr>
              <w:pStyle w:val="ListParagraph"/>
              <w:ind w:left="312" w:hanging="142"/>
              <w:jc w:val="both"/>
              <w:rPr>
                <w:sz w:val="16"/>
                <w:szCs w:val="16"/>
              </w:rPr>
            </w:pPr>
            <w:r w:rsidRPr="0040312D">
              <w:rPr>
                <w:sz w:val="16"/>
                <w:szCs w:val="16"/>
              </w:rPr>
              <w:t>• Fuel oil consumption per consumer type (Main engine(s), Auxiliary engine(s), Oil-fired boilers, and Others) when the ship is not underway</w:t>
            </w:r>
            <w:r>
              <w:rPr>
                <w:sz w:val="16"/>
                <w:szCs w:val="16"/>
              </w:rPr>
              <w:t>.</w:t>
            </w:r>
          </w:p>
          <w:p w:rsidR="006F5D70" w:rsidRDefault="006F5D70" w:rsidP="006F5D70">
            <w:pPr>
              <w:pStyle w:val="ListParagraph"/>
              <w:ind w:left="170"/>
              <w:jc w:val="both"/>
              <w:rPr>
                <w:sz w:val="16"/>
                <w:szCs w:val="16"/>
              </w:rPr>
            </w:pPr>
          </w:p>
          <w:p w:rsidR="006F5D70" w:rsidRDefault="006F5D70" w:rsidP="006F5D70">
            <w:pPr>
              <w:pStyle w:val="ListParagraph"/>
              <w:numPr>
                <w:ilvl w:val="0"/>
                <w:numId w:val="23"/>
              </w:numPr>
              <w:ind w:left="170" w:hanging="142"/>
              <w:jc w:val="both"/>
              <w:rPr>
                <w:sz w:val="16"/>
                <w:szCs w:val="16"/>
              </w:rPr>
            </w:pPr>
            <w:r w:rsidRPr="0040312D">
              <w:rPr>
                <w:sz w:val="16"/>
                <w:szCs w:val="16"/>
              </w:rPr>
              <w:t xml:space="preserve">In addition, there is a new entry to report the laden distance travelled – on a voluntary basis - and the installation of any innovative technology according to the 2021 Guidance on treatment of innovative energy efficiency technologies for calculation and verification of the attained EEDI and EEXI (MEPC.1/Circ.896). </w:t>
            </w:r>
          </w:p>
          <w:p w:rsidR="006F5D70" w:rsidRDefault="006F5D70" w:rsidP="006F5D70">
            <w:pPr>
              <w:pStyle w:val="ListParagraph"/>
              <w:ind w:left="170"/>
              <w:jc w:val="both"/>
              <w:rPr>
                <w:sz w:val="16"/>
                <w:szCs w:val="16"/>
              </w:rPr>
            </w:pPr>
          </w:p>
          <w:p w:rsidR="006F5D70" w:rsidRDefault="006F5D70" w:rsidP="006F5D70">
            <w:pPr>
              <w:pStyle w:val="ListParagraph"/>
              <w:numPr>
                <w:ilvl w:val="0"/>
                <w:numId w:val="23"/>
              </w:numPr>
              <w:ind w:left="170" w:hanging="142"/>
              <w:jc w:val="both"/>
              <w:rPr>
                <w:sz w:val="16"/>
                <w:szCs w:val="16"/>
              </w:rPr>
            </w:pPr>
            <w:r w:rsidRPr="0040312D">
              <w:rPr>
                <w:sz w:val="16"/>
                <w:szCs w:val="16"/>
              </w:rPr>
              <w:t>Ships to which Regulation 28 of MARPOL Annex VI applie</w:t>
            </w:r>
            <w:r>
              <w:rPr>
                <w:sz w:val="16"/>
                <w:szCs w:val="16"/>
              </w:rPr>
              <w:t>s</w:t>
            </w:r>
            <w:r w:rsidRPr="0040312D">
              <w:rPr>
                <w:sz w:val="16"/>
                <w:szCs w:val="16"/>
              </w:rPr>
              <w:t>, shall also report the transport work using tonne-mile, TEU-Mile and/or passenger-mile data, whereas container</w:t>
            </w:r>
            <w:r>
              <w:rPr>
                <w:sz w:val="16"/>
                <w:szCs w:val="16"/>
              </w:rPr>
              <w:t xml:space="preserve"> </w:t>
            </w:r>
            <w:r w:rsidRPr="0040312D">
              <w:rPr>
                <w:sz w:val="16"/>
                <w:szCs w:val="16"/>
              </w:rPr>
              <w:t xml:space="preserve">ships especially must report both tonne-mile and TEU-mile data. </w:t>
            </w:r>
          </w:p>
          <w:p w:rsidR="006F5D70" w:rsidRPr="0040312D" w:rsidRDefault="006F5D70" w:rsidP="006F5D70">
            <w:pPr>
              <w:pStyle w:val="ListParagraph"/>
              <w:ind w:left="170"/>
              <w:jc w:val="both"/>
              <w:rPr>
                <w:sz w:val="16"/>
                <w:szCs w:val="16"/>
              </w:rPr>
            </w:pPr>
          </w:p>
          <w:p w:rsidR="006F5D70" w:rsidRPr="0040312D" w:rsidRDefault="006F5D70" w:rsidP="006F5D70">
            <w:pPr>
              <w:pStyle w:val="ListParagraph"/>
              <w:numPr>
                <w:ilvl w:val="0"/>
                <w:numId w:val="23"/>
              </w:numPr>
              <w:ind w:left="170" w:hanging="142"/>
              <w:jc w:val="both"/>
              <w:rPr>
                <w:sz w:val="16"/>
                <w:szCs w:val="16"/>
              </w:rPr>
            </w:pPr>
            <w:r w:rsidRPr="0040312D">
              <w:rPr>
                <w:sz w:val="16"/>
                <w:szCs w:val="16"/>
              </w:rPr>
              <w:t xml:space="preserve">The amendments </w:t>
            </w:r>
            <w:r>
              <w:rPr>
                <w:sz w:val="16"/>
                <w:szCs w:val="16"/>
              </w:rPr>
              <w:t>will</w:t>
            </w:r>
            <w:r w:rsidRPr="0040312D">
              <w:rPr>
                <w:sz w:val="16"/>
                <w:szCs w:val="16"/>
              </w:rPr>
              <w:t xml:space="preserve"> enter into force on 1 August 2025. </w:t>
            </w:r>
          </w:p>
          <w:p w:rsidR="006F5D70" w:rsidRDefault="006F5D70" w:rsidP="006F5D70">
            <w:pPr>
              <w:pStyle w:val="ListParagraph"/>
              <w:ind w:left="170"/>
              <w:jc w:val="both"/>
              <w:rPr>
                <w:sz w:val="16"/>
                <w:szCs w:val="16"/>
              </w:rPr>
            </w:pPr>
          </w:p>
          <w:p w:rsidR="006F5D70" w:rsidRPr="00102066" w:rsidRDefault="006F5D70" w:rsidP="006F5D70">
            <w:pPr>
              <w:pStyle w:val="ListParagraph"/>
              <w:numPr>
                <w:ilvl w:val="0"/>
                <w:numId w:val="23"/>
              </w:numPr>
              <w:ind w:left="170" w:hanging="142"/>
              <w:jc w:val="both"/>
              <w:rPr>
                <w:sz w:val="16"/>
                <w:szCs w:val="16"/>
              </w:rPr>
            </w:pPr>
            <w:r w:rsidRPr="00C07FD2">
              <w:rPr>
                <w:sz w:val="16"/>
                <w:szCs w:val="16"/>
              </w:rPr>
              <w:t xml:space="preserve">Noting the fact that the aforementioned amendments are entering into force in the middle of a </w:t>
            </w:r>
            <w:r w:rsidRPr="00C07FD2">
              <w:rPr>
                <w:sz w:val="16"/>
                <w:szCs w:val="16"/>
              </w:rPr>
              <w:lastRenderedPageBreak/>
              <w:t>calendar year, which would result in two distinct levels of granularity for the data gathered in that calendar year, MEPC 82 approved a Unified Interpretation vide MEPC.1/Circ.913 regarding the application of these amendments.</w:t>
            </w:r>
          </w:p>
          <w:p w:rsidR="006F5D70" w:rsidRPr="00102066" w:rsidRDefault="006F5D70" w:rsidP="006F5D70">
            <w:pPr>
              <w:pStyle w:val="ListParagraph"/>
              <w:ind w:left="170"/>
              <w:jc w:val="both"/>
              <w:rPr>
                <w:sz w:val="16"/>
                <w:szCs w:val="16"/>
              </w:rPr>
            </w:pPr>
          </w:p>
          <w:p w:rsidR="006F5D70" w:rsidRPr="00102066" w:rsidRDefault="006F5D70" w:rsidP="006F5D70">
            <w:pPr>
              <w:pStyle w:val="ListParagraph"/>
              <w:numPr>
                <w:ilvl w:val="0"/>
                <w:numId w:val="23"/>
              </w:numPr>
              <w:ind w:left="170" w:hanging="142"/>
              <w:jc w:val="both"/>
              <w:rPr>
                <w:sz w:val="16"/>
                <w:szCs w:val="16"/>
              </w:rPr>
            </w:pPr>
            <w:r w:rsidRPr="00102066">
              <w:rPr>
                <w:sz w:val="16"/>
                <w:szCs w:val="16"/>
              </w:rPr>
              <w:t>Based on the above interpretation, ship owners and managers are advised as follows:</w:t>
            </w:r>
          </w:p>
          <w:p w:rsidR="006F5D70" w:rsidRPr="00C07FD2" w:rsidRDefault="006F5D70" w:rsidP="006F5D70">
            <w:pPr>
              <w:pStyle w:val="ListParagraph"/>
              <w:rPr>
                <w:rFonts w:eastAsia="TT15Ct00" w:cs="TT15Ct00"/>
                <w:sz w:val="16"/>
                <w:szCs w:val="16"/>
                <w:lang w:val="en-IN"/>
              </w:rPr>
            </w:pPr>
          </w:p>
          <w:p w:rsidR="006F5D70" w:rsidRDefault="006F5D70" w:rsidP="006F5D70">
            <w:pPr>
              <w:numPr>
                <w:ilvl w:val="0"/>
                <w:numId w:val="26"/>
              </w:numPr>
              <w:ind w:left="595" w:hanging="283"/>
              <w:jc w:val="both"/>
              <w:rPr>
                <w:sz w:val="16"/>
                <w:szCs w:val="16"/>
              </w:rPr>
            </w:pPr>
            <w:r w:rsidRPr="00C07FD2">
              <w:rPr>
                <w:sz w:val="16"/>
                <w:szCs w:val="16"/>
              </w:rPr>
              <w:t>For ships flying the flag of the Administration that implements the amendments on the entry-into-force date (1 August 2025), the SEEMP is to be revised and verified prior to 1 January 2026 and data to be collected with existing level of granularity for the entire year of 2025, and with increased granularity from 1 January 2026. Those planning to retrofit flow meters or employ other methodologies should complete these actions within the same time frame.</w:t>
            </w:r>
          </w:p>
          <w:p w:rsidR="006F5D70" w:rsidRPr="00C07FD2" w:rsidRDefault="006F5D70" w:rsidP="006F5D70">
            <w:pPr>
              <w:ind w:left="595" w:hanging="283"/>
              <w:jc w:val="both"/>
              <w:rPr>
                <w:sz w:val="16"/>
                <w:szCs w:val="16"/>
              </w:rPr>
            </w:pPr>
          </w:p>
          <w:p w:rsidR="006F5D70" w:rsidRDefault="006F5D70" w:rsidP="006F5D70">
            <w:pPr>
              <w:numPr>
                <w:ilvl w:val="0"/>
                <w:numId w:val="26"/>
              </w:numPr>
              <w:ind w:left="595" w:hanging="283"/>
              <w:jc w:val="both"/>
              <w:rPr>
                <w:sz w:val="16"/>
                <w:szCs w:val="16"/>
              </w:rPr>
            </w:pPr>
            <w:r w:rsidRPr="00C07FD2">
              <w:rPr>
                <w:sz w:val="16"/>
                <w:szCs w:val="16"/>
              </w:rPr>
              <w:t>For ships flying the flag of the Administration that implements the amendments early (1 January 2025), the SEEMP is to be revised and verified prior to 1 January 2025 and data to be collected with increased granularity throughout the entire year of 2025 and beyond. Those planning to retrofit flow meters or employ other methodologies should complete these actions within the same time frame</w:t>
            </w:r>
            <w:r>
              <w:rPr>
                <w:sz w:val="16"/>
                <w:szCs w:val="16"/>
              </w:rPr>
              <w:t>.</w:t>
            </w:r>
          </w:p>
          <w:p w:rsidR="006F5D70" w:rsidRDefault="006F5D70" w:rsidP="006F5D70">
            <w:pPr>
              <w:pStyle w:val="ListParagraph"/>
              <w:ind w:left="595" w:hanging="283"/>
              <w:rPr>
                <w:sz w:val="16"/>
                <w:szCs w:val="16"/>
              </w:rPr>
            </w:pPr>
          </w:p>
          <w:p w:rsidR="006F5D70" w:rsidRPr="00EC30E3" w:rsidRDefault="006F5D70" w:rsidP="00913B32">
            <w:pPr>
              <w:numPr>
                <w:ilvl w:val="0"/>
                <w:numId w:val="26"/>
              </w:numPr>
              <w:autoSpaceDE w:val="0"/>
              <w:autoSpaceDN w:val="0"/>
              <w:adjustRightInd w:val="0"/>
              <w:ind w:left="595" w:hanging="283"/>
              <w:jc w:val="both"/>
              <w:rPr>
                <w:rFonts w:eastAsia="TT15Ct00" w:cs="TT15Ct00"/>
                <w:sz w:val="16"/>
                <w:szCs w:val="16"/>
                <w:lang w:val="en-IN"/>
              </w:rPr>
            </w:pPr>
            <w:r w:rsidRPr="00EC30E3">
              <w:rPr>
                <w:sz w:val="16"/>
                <w:szCs w:val="16"/>
              </w:rPr>
              <w:t xml:space="preserve">For ships delivered on or after 1 August 2025 data, SEEMP is to be developed to include a description of data collection methodology and the data is to be collected at the enhanced level of granularity from the date of delivery and onwards. </w:t>
            </w:r>
          </w:p>
          <w:p w:rsidR="006F5D70" w:rsidRDefault="006F5D70" w:rsidP="006F5D70">
            <w:pPr>
              <w:autoSpaceDE w:val="0"/>
              <w:autoSpaceDN w:val="0"/>
              <w:adjustRightInd w:val="0"/>
              <w:rPr>
                <w:rFonts w:eastAsia="TT15Ct00" w:cs="TT15Ct00"/>
                <w:b/>
                <w:sz w:val="16"/>
                <w:szCs w:val="16"/>
                <w:lang w:val="en-IN"/>
              </w:rPr>
            </w:pPr>
          </w:p>
          <w:p w:rsidR="0090592A" w:rsidRDefault="0090592A" w:rsidP="006F5D70">
            <w:pPr>
              <w:autoSpaceDE w:val="0"/>
              <w:autoSpaceDN w:val="0"/>
              <w:adjustRightInd w:val="0"/>
              <w:rPr>
                <w:rFonts w:eastAsia="TT15Ct00" w:cs="TT15Ct00"/>
                <w:b/>
                <w:sz w:val="16"/>
                <w:szCs w:val="16"/>
                <w:lang w:val="en-IN"/>
              </w:rPr>
            </w:pPr>
            <w:r>
              <w:rPr>
                <w:rFonts w:eastAsia="TT15Ct00" w:cs="TT15Ct00"/>
                <w:b/>
                <w:sz w:val="16"/>
                <w:szCs w:val="16"/>
                <w:lang w:val="en-IN"/>
              </w:rPr>
              <w:t xml:space="preserve">For details, refer IRS Technical Circular No. </w:t>
            </w:r>
            <w:r w:rsidR="005225EA">
              <w:rPr>
                <w:rFonts w:eastAsia="TT15Ct00" w:cs="TT15Ct00"/>
                <w:b/>
                <w:sz w:val="16"/>
                <w:szCs w:val="16"/>
                <w:lang w:val="en-IN"/>
              </w:rPr>
              <w:t>024/2024</w:t>
            </w:r>
            <w:r>
              <w:rPr>
                <w:rFonts w:eastAsia="TT15Ct00" w:cs="TT15Ct00"/>
                <w:b/>
                <w:sz w:val="16"/>
                <w:szCs w:val="16"/>
                <w:lang w:val="en-IN"/>
              </w:rPr>
              <w:t xml:space="preserve">, dated </w:t>
            </w:r>
            <w:r w:rsidR="005225EA">
              <w:rPr>
                <w:rFonts w:eastAsia="TT15Ct00" w:cs="TT15Ct00"/>
                <w:b/>
                <w:sz w:val="16"/>
                <w:szCs w:val="16"/>
                <w:lang w:val="en-IN"/>
              </w:rPr>
              <w:t>18 November 2024</w:t>
            </w:r>
            <w:r>
              <w:rPr>
                <w:rFonts w:eastAsia="TT15Ct00" w:cs="TT15Ct00"/>
                <w:b/>
                <w:sz w:val="16"/>
                <w:szCs w:val="16"/>
                <w:lang w:val="en-IN"/>
              </w:rPr>
              <w:t>.</w:t>
            </w:r>
          </w:p>
          <w:p w:rsidR="0090592A" w:rsidRPr="00361F55" w:rsidRDefault="0090592A" w:rsidP="006F5D70">
            <w:pPr>
              <w:autoSpaceDE w:val="0"/>
              <w:autoSpaceDN w:val="0"/>
              <w:adjustRightInd w:val="0"/>
              <w:rPr>
                <w:rFonts w:eastAsia="TT15Ct00" w:cs="TT15Ct00"/>
                <w:b/>
                <w:sz w:val="16"/>
                <w:szCs w:val="16"/>
                <w:lang w:val="en-IN"/>
              </w:rPr>
            </w:pPr>
          </w:p>
        </w:tc>
      </w:tr>
      <w:tr w:rsidR="006F5D70" w:rsidRPr="00202825" w:rsidTr="00DF5E62">
        <w:trPr>
          <w:trHeight w:val="975"/>
        </w:trPr>
        <w:tc>
          <w:tcPr>
            <w:tcW w:w="443" w:type="dxa"/>
          </w:tcPr>
          <w:p w:rsidR="006F5D70" w:rsidRDefault="00335DA8" w:rsidP="006F5D70">
            <w:pPr>
              <w:jc w:val="both"/>
              <w:rPr>
                <w:sz w:val="16"/>
                <w:szCs w:val="16"/>
              </w:rPr>
            </w:pPr>
            <w:r>
              <w:rPr>
                <w:sz w:val="16"/>
                <w:szCs w:val="16"/>
              </w:rPr>
              <w:lastRenderedPageBreak/>
              <w:t>5</w:t>
            </w:r>
          </w:p>
        </w:tc>
        <w:tc>
          <w:tcPr>
            <w:tcW w:w="1100" w:type="dxa"/>
          </w:tcPr>
          <w:p w:rsidR="006F5D70" w:rsidRDefault="006F5D70" w:rsidP="006F5D70">
            <w:pPr>
              <w:rPr>
                <w:sz w:val="16"/>
                <w:szCs w:val="16"/>
              </w:rPr>
            </w:pPr>
            <w:r>
              <w:rPr>
                <w:sz w:val="16"/>
                <w:szCs w:val="16"/>
              </w:rPr>
              <w:t>MARPOL Annex VI, Reg. 2, 14, 18, Appendix I</w:t>
            </w:r>
          </w:p>
        </w:tc>
        <w:tc>
          <w:tcPr>
            <w:tcW w:w="1180" w:type="dxa"/>
          </w:tcPr>
          <w:p w:rsidR="006F5D70" w:rsidRDefault="006F5D70" w:rsidP="006F5D70">
            <w:pPr>
              <w:jc w:val="both"/>
              <w:rPr>
                <w:sz w:val="16"/>
                <w:szCs w:val="16"/>
              </w:rPr>
            </w:pPr>
            <w:r>
              <w:rPr>
                <w:sz w:val="16"/>
                <w:szCs w:val="16"/>
              </w:rPr>
              <w:t>MEPC. 385(81)</w:t>
            </w:r>
          </w:p>
          <w:p w:rsidR="006F5D70" w:rsidRDefault="006F5D70" w:rsidP="006F5D70">
            <w:pPr>
              <w:jc w:val="both"/>
              <w:rPr>
                <w:sz w:val="16"/>
                <w:szCs w:val="16"/>
              </w:rPr>
            </w:pPr>
          </w:p>
        </w:tc>
        <w:tc>
          <w:tcPr>
            <w:tcW w:w="963" w:type="dxa"/>
            <w:tcBorders>
              <w:left w:val="single" w:sz="6" w:space="0" w:color="6E6E6E"/>
              <w:bottom w:val="single" w:sz="6" w:space="0" w:color="6E6E6E"/>
            </w:tcBorders>
          </w:tcPr>
          <w:p w:rsidR="006F5D70" w:rsidRDefault="006F5D70" w:rsidP="006F5D70">
            <w:pPr>
              <w:rPr>
                <w:rFonts w:eastAsia="TT15Ct00" w:cs="TT15Ct00"/>
                <w:sz w:val="16"/>
                <w:szCs w:val="16"/>
                <w:lang w:val="en-IN"/>
              </w:rPr>
            </w:pPr>
            <w:r>
              <w:rPr>
                <w:rFonts w:eastAsia="TT15Ct00" w:cs="TT15Ct00"/>
                <w:sz w:val="16"/>
                <w:szCs w:val="16"/>
                <w:lang w:val="en-IN"/>
              </w:rPr>
              <w:t>All</w:t>
            </w:r>
          </w:p>
        </w:tc>
        <w:tc>
          <w:tcPr>
            <w:tcW w:w="1021" w:type="dxa"/>
            <w:tcBorders>
              <w:left w:val="single" w:sz="6" w:space="0" w:color="6E6E6E"/>
              <w:bottom w:val="single" w:sz="6" w:space="0" w:color="6E6E6E"/>
            </w:tcBorders>
          </w:tcPr>
          <w:p w:rsidR="006F5D70" w:rsidRDefault="006F5D70" w:rsidP="006F5D70">
            <w:pPr>
              <w:rPr>
                <w:rFonts w:eastAsia="TT15Ct00" w:cs="TT15Ct00"/>
                <w:sz w:val="16"/>
                <w:szCs w:val="16"/>
                <w:lang w:val="en-IN"/>
              </w:rPr>
            </w:pPr>
            <w:r>
              <w:rPr>
                <w:rFonts w:eastAsia="TT15Ct00" w:cs="TT15Ct00"/>
                <w:sz w:val="16"/>
                <w:szCs w:val="16"/>
                <w:lang w:val="en-IN"/>
              </w:rPr>
              <w:t>All</w:t>
            </w:r>
          </w:p>
        </w:tc>
        <w:tc>
          <w:tcPr>
            <w:tcW w:w="1128" w:type="dxa"/>
            <w:tcBorders>
              <w:left w:val="single" w:sz="6" w:space="0" w:color="6E6E6E"/>
              <w:bottom w:val="single" w:sz="6" w:space="0" w:color="6E6E6E"/>
            </w:tcBorders>
          </w:tcPr>
          <w:p w:rsidR="006F5D70" w:rsidRPr="0036675D" w:rsidRDefault="006F5D70" w:rsidP="006F5D70">
            <w:pPr>
              <w:pStyle w:val="ListParagraph"/>
              <w:tabs>
                <w:tab w:val="left" w:pos="174"/>
              </w:tabs>
              <w:ind w:left="84"/>
              <w:rPr>
                <w:rFonts w:eastAsia="TT15Ct00" w:cs="TT15Ct00"/>
                <w:sz w:val="16"/>
                <w:szCs w:val="16"/>
                <w:lang w:val="en-IN"/>
              </w:rPr>
            </w:pPr>
            <w:r w:rsidRPr="0036675D">
              <w:rPr>
                <w:rFonts w:eastAsia="TT15Ct00" w:cs="TT15Ct00"/>
                <w:sz w:val="16"/>
                <w:szCs w:val="16"/>
                <w:lang w:val="en-IN"/>
              </w:rPr>
              <w:t xml:space="preserve">1 </w:t>
            </w:r>
            <w:r>
              <w:rPr>
                <w:rFonts w:eastAsia="TT15Ct00" w:cs="TT15Ct00"/>
                <w:sz w:val="16"/>
                <w:szCs w:val="16"/>
                <w:lang w:val="en-IN"/>
              </w:rPr>
              <w:t>August</w:t>
            </w:r>
            <w:r w:rsidRPr="0036675D">
              <w:rPr>
                <w:rFonts w:eastAsia="TT15Ct00" w:cs="TT15Ct00"/>
                <w:sz w:val="16"/>
                <w:szCs w:val="16"/>
                <w:lang w:val="en-IN"/>
              </w:rPr>
              <w:t xml:space="preserve"> 202</w:t>
            </w:r>
            <w:r>
              <w:rPr>
                <w:rFonts w:eastAsia="TT15Ct00" w:cs="TT15Ct00"/>
                <w:sz w:val="16"/>
                <w:szCs w:val="16"/>
                <w:lang w:val="en-IN"/>
              </w:rPr>
              <w:t>5</w:t>
            </w:r>
          </w:p>
        </w:tc>
        <w:tc>
          <w:tcPr>
            <w:tcW w:w="999" w:type="dxa"/>
            <w:tcBorders>
              <w:left w:val="single" w:sz="6" w:space="0" w:color="6E6E6E"/>
              <w:bottom w:val="single" w:sz="6" w:space="0" w:color="6E6E6E"/>
            </w:tcBorders>
          </w:tcPr>
          <w:p w:rsidR="006F5D70" w:rsidRDefault="006F5D70" w:rsidP="006F5D70">
            <w:pPr>
              <w:rPr>
                <w:rFonts w:eastAsia="TT15Ct00" w:cs="TT15Ct00"/>
                <w:sz w:val="16"/>
                <w:szCs w:val="16"/>
                <w:lang w:val="en-IN"/>
              </w:rPr>
            </w:pPr>
            <w:r>
              <w:rPr>
                <w:rFonts w:eastAsia="TT15Ct00" w:cs="TT15Ct00"/>
                <w:sz w:val="16"/>
                <w:szCs w:val="16"/>
                <w:lang w:val="en-IN"/>
              </w:rPr>
              <w:t>All</w:t>
            </w:r>
          </w:p>
        </w:tc>
        <w:tc>
          <w:tcPr>
            <w:tcW w:w="992" w:type="dxa"/>
            <w:tcBorders>
              <w:left w:val="single" w:sz="6" w:space="0" w:color="6E6E6E"/>
              <w:bottom w:val="single" w:sz="6" w:space="0" w:color="6E6E6E"/>
            </w:tcBorders>
          </w:tcPr>
          <w:p w:rsidR="006F5D70" w:rsidRDefault="006F5D70" w:rsidP="006F5D70">
            <w:pPr>
              <w:rPr>
                <w:rFonts w:eastAsia="TT15Ct00" w:cs="TT15Ct00"/>
                <w:sz w:val="16"/>
                <w:szCs w:val="16"/>
                <w:lang w:val="en-IN"/>
              </w:rPr>
            </w:pPr>
            <w:r>
              <w:rPr>
                <w:rFonts w:eastAsia="TT15Ct00" w:cs="TT15Ct00"/>
                <w:sz w:val="16"/>
                <w:szCs w:val="16"/>
                <w:lang w:val="en-IN"/>
              </w:rPr>
              <w:t>All</w:t>
            </w:r>
          </w:p>
        </w:tc>
        <w:tc>
          <w:tcPr>
            <w:tcW w:w="1276" w:type="dxa"/>
            <w:tcBorders>
              <w:left w:val="single" w:sz="6" w:space="0" w:color="6E6E6E"/>
              <w:bottom w:val="single" w:sz="6" w:space="0" w:color="6E6E6E"/>
            </w:tcBorders>
          </w:tcPr>
          <w:p w:rsidR="006F5D70" w:rsidRPr="0036675D" w:rsidRDefault="006F5D70" w:rsidP="006F5D70">
            <w:pPr>
              <w:pStyle w:val="ListParagraph"/>
              <w:tabs>
                <w:tab w:val="left" w:pos="174"/>
              </w:tabs>
              <w:ind w:left="84"/>
              <w:rPr>
                <w:rFonts w:eastAsia="TT15Ct00" w:cs="TT15Ct00"/>
                <w:sz w:val="16"/>
                <w:szCs w:val="16"/>
                <w:lang w:val="en-IN"/>
              </w:rPr>
            </w:pPr>
            <w:r w:rsidRPr="0036675D">
              <w:rPr>
                <w:rFonts w:eastAsia="TT15Ct00" w:cs="TT15Ct00"/>
                <w:sz w:val="16"/>
                <w:szCs w:val="16"/>
                <w:lang w:val="en-IN"/>
              </w:rPr>
              <w:t xml:space="preserve">1 </w:t>
            </w:r>
            <w:r>
              <w:rPr>
                <w:rFonts w:eastAsia="TT15Ct00" w:cs="TT15Ct00"/>
                <w:sz w:val="16"/>
                <w:szCs w:val="16"/>
                <w:lang w:val="en-IN"/>
              </w:rPr>
              <w:t>August</w:t>
            </w:r>
            <w:r w:rsidRPr="0036675D">
              <w:rPr>
                <w:rFonts w:eastAsia="TT15Ct00" w:cs="TT15Ct00"/>
                <w:sz w:val="16"/>
                <w:szCs w:val="16"/>
                <w:lang w:val="en-IN"/>
              </w:rPr>
              <w:t xml:space="preserve"> 202</w:t>
            </w:r>
            <w:r>
              <w:rPr>
                <w:rFonts w:eastAsia="TT15Ct00" w:cs="TT15Ct00"/>
                <w:sz w:val="16"/>
                <w:szCs w:val="16"/>
                <w:lang w:val="en-IN"/>
              </w:rPr>
              <w:t>5</w:t>
            </w:r>
          </w:p>
        </w:tc>
        <w:tc>
          <w:tcPr>
            <w:tcW w:w="6945" w:type="dxa"/>
          </w:tcPr>
          <w:p w:rsidR="006F5D70" w:rsidRPr="00DD4FF4" w:rsidRDefault="006F5D70" w:rsidP="006F5D70">
            <w:pPr>
              <w:autoSpaceDE w:val="0"/>
              <w:autoSpaceDN w:val="0"/>
              <w:adjustRightInd w:val="0"/>
              <w:jc w:val="both"/>
              <w:rPr>
                <w:b/>
                <w:bCs/>
                <w:sz w:val="16"/>
                <w:szCs w:val="16"/>
              </w:rPr>
            </w:pPr>
            <w:r w:rsidRPr="00DD4FF4">
              <w:rPr>
                <w:b/>
                <w:bCs/>
                <w:sz w:val="16"/>
                <w:szCs w:val="16"/>
              </w:rPr>
              <w:t>Amendments to MARPOL Annex VI related to low-flashpoint fuels and gas fuels</w:t>
            </w:r>
            <w:r w:rsidR="00E103FF">
              <w:rPr>
                <w:b/>
                <w:bCs/>
                <w:sz w:val="16"/>
                <w:szCs w:val="16"/>
              </w:rPr>
              <w:t>:</w:t>
            </w:r>
          </w:p>
          <w:p w:rsidR="006F5D70" w:rsidRPr="00DD4FF4" w:rsidRDefault="006F5D70" w:rsidP="006F5D70">
            <w:pPr>
              <w:autoSpaceDE w:val="0"/>
              <w:autoSpaceDN w:val="0"/>
              <w:adjustRightInd w:val="0"/>
              <w:jc w:val="both"/>
              <w:rPr>
                <w:sz w:val="16"/>
                <w:szCs w:val="16"/>
              </w:rPr>
            </w:pPr>
          </w:p>
          <w:p w:rsidR="006F5D70" w:rsidRDefault="006F5D70" w:rsidP="006F5D70">
            <w:pPr>
              <w:pStyle w:val="ListParagraph"/>
              <w:numPr>
                <w:ilvl w:val="0"/>
                <w:numId w:val="24"/>
              </w:numPr>
              <w:ind w:left="170" w:hanging="170"/>
              <w:jc w:val="both"/>
              <w:rPr>
                <w:sz w:val="16"/>
                <w:szCs w:val="16"/>
              </w:rPr>
            </w:pPr>
            <w:r w:rsidRPr="00DD4FF4">
              <w:rPr>
                <w:sz w:val="16"/>
                <w:szCs w:val="16"/>
              </w:rPr>
              <w:t xml:space="preserve">The </w:t>
            </w:r>
            <w:r>
              <w:rPr>
                <w:sz w:val="16"/>
                <w:szCs w:val="16"/>
              </w:rPr>
              <w:t xml:space="preserve">IMO </w:t>
            </w:r>
            <w:r w:rsidRPr="00DD4FF4">
              <w:rPr>
                <w:sz w:val="16"/>
                <w:szCs w:val="16"/>
              </w:rPr>
              <w:t>adopted Resolution MEPC.385(81)</w:t>
            </w:r>
            <w:r w:rsidR="00E103FF">
              <w:rPr>
                <w:sz w:val="16"/>
                <w:szCs w:val="16"/>
              </w:rPr>
              <w:t xml:space="preserve"> -</w:t>
            </w:r>
            <w:r w:rsidRPr="00DD4FF4">
              <w:rPr>
                <w:sz w:val="16"/>
                <w:szCs w:val="16"/>
              </w:rPr>
              <w:t xml:space="preserve"> Amendments to MARPOL Annex VI concerning low-flashpoint fuels and other fuel oil related issues, marine diesel engine replacing steam system, accessibility of data and inclusion of data on transport work and enhanced granularity in the IMO Ship Fuel Consumption Database (IMO DCS), introducing amendments to Regulations 2, 13, 14, 18, 27 and Appendix I of MARPOL Annex VI. </w:t>
            </w:r>
          </w:p>
          <w:p w:rsidR="006F5D70" w:rsidRDefault="006F5D70" w:rsidP="006F5D70">
            <w:pPr>
              <w:autoSpaceDE w:val="0"/>
              <w:autoSpaceDN w:val="0"/>
              <w:adjustRightInd w:val="0"/>
              <w:jc w:val="both"/>
              <w:rPr>
                <w:sz w:val="16"/>
                <w:szCs w:val="16"/>
              </w:rPr>
            </w:pPr>
          </w:p>
          <w:p w:rsidR="006F5D70" w:rsidRDefault="006F5D70" w:rsidP="006F5D70">
            <w:pPr>
              <w:autoSpaceDE w:val="0"/>
              <w:autoSpaceDN w:val="0"/>
              <w:adjustRightInd w:val="0"/>
              <w:ind w:left="312" w:hanging="142"/>
              <w:jc w:val="both"/>
              <w:rPr>
                <w:sz w:val="16"/>
                <w:szCs w:val="16"/>
              </w:rPr>
            </w:pPr>
            <w:r w:rsidRPr="00DD4FF4">
              <w:rPr>
                <w:sz w:val="16"/>
                <w:szCs w:val="16"/>
              </w:rPr>
              <w:t xml:space="preserve">• In Regulation 2, the definition of fuel oil is revised as “any fuel delivered to and intended for use on board a ship”. Additionally, an additional paragraph 1.33 is added for the definition of gas fuel, aligned with the definition of ‘gas’ in IGF Code, to read “Gas fuel means a fuel oil with a vapor pressure exceeding 0.28 MPa absolute at a temperature of 37.8˚C”. </w:t>
            </w:r>
          </w:p>
          <w:p w:rsidR="006F5D70" w:rsidRDefault="006F5D70" w:rsidP="006F5D70">
            <w:pPr>
              <w:autoSpaceDE w:val="0"/>
              <w:autoSpaceDN w:val="0"/>
              <w:adjustRightInd w:val="0"/>
              <w:ind w:firstLine="170"/>
              <w:jc w:val="both"/>
              <w:rPr>
                <w:sz w:val="16"/>
                <w:szCs w:val="16"/>
              </w:rPr>
            </w:pPr>
          </w:p>
          <w:p w:rsidR="006F5D70" w:rsidRDefault="006F5D70" w:rsidP="006F5D70">
            <w:pPr>
              <w:autoSpaceDE w:val="0"/>
              <w:autoSpaceDN w:val="0"/>
              <w:adjustRightInd w:val="0"/>
              <w:ind w:left="312" w:hanging="142"/>
              <w:jc w:val="both"/>
              <w:rPr>
                <w:sz w:val="16"/>
                <w:szCs w:val="16"/>
              </w:rPr>
            </w:pPr>
            <w:r w:rsidRPr="00DD4FF4">
              <w:rPr>
                <w:sz w:val="16"/>
                <w:szCs w:val="16"/>
              </w:rPr>
              <w:t xml:space="preserve">• Paragraph 2.2 of Regulation 13 is revised to clarify that the installation of a marine diesel engine replacing a steam system shall be also considered a replacement engine while also introducing a footnote referring to the 2024 Guidelines as required by regulation 13.2.2 of MARPOL Annex VI in respect of non-identical replacement engines not required to meet the Tier III limit (Resolution MEPC.386(81)). </w:t>
            </w:r>
          </w:p>
          <w:p w:rsidR="006F5D70" w:rsidRDefault="006F5D70" w:rsidP="006F5D70">
            <w:pPr>
              <w:autoSpaceDE w:val="0"/>
              <w:autoSpaceDN w:val="0"/>
              <w:adjustRightInd w:val="0"/>
              <w:ind w:firstLine="170"/>
              <w:jc w:val="both"/>
              <w:rPr>
                <w:sz w:val="16"/>
                <w:szCs w:val="16"/>
              </w:rPr>
            </w:pPr>
          </w:p>
          <w:p w:rsidR="006F5D70" w:rsidRDefault="006F5D70" w:rsidP="006F5D70">
            <w:pPr>
              <w:autoSpaceDE w:val="0"/>
              <w:autoSpaceDN w:val="0"/>
              <w:adjustRightInd w:val="0"/>
              <w:ind w:left="312" w:hanging="142"/>
              <w:jc w:val="both"/>
              <w:rPr>
                <w:sz w:val="16"/>
                <w:szCs w:val="16"/>
              </w:rPr>
            </w:pPr>
            <w:r w:rsidRPr="00DD4FF4">
              <w:rPr>
                <w:sz w:val="16"/>
                <w:szCs w:val="16"/>
              </w:rPr>
              <w:t xml:space="preserve">• Revision of Paragraph 12 in Regulation 14, states that the in-use/onboard sampling points </w:t>
            </w:r>
            <w:r w:rsidRPr="00DD4FF4">
              <w:rPr>
                <w:sz w:val="16"/>
                <w:szCs w:val="16"/>
              </w:rPr>
              <w:lastRenderedPageBreak/>
              <w:t xml:space="preserve">requirements in Paragraphs 10 and 11 shall not apply to gas/low-flashpoint fuels. </w:t>
            </w:r>
          </w:p>
          <w:p w:rsidR="006F5D70" w:rsidRDefault="006F5D70" w:rsidP="006F5D70">
            <w:pPr>
              <w:autoSpaceDE w:val="0"/>
              <w:autoSpaceDN w:val="0"/>
              <w:adjustRightInd w:val="0"/>
              <w:ind w:firstLine="170"/>
              <w:jc w:val="both"/>
              <w:rPr>
                <w:sz w:val="16"/>
                <w:szCs w:val="16"/>
              </w:rPr>
            </w:pPr>
          </w:p>
          <w:p w:rsidR="00F04E67" w:rsidRDefault="006F5D70" w:rsidP="006F5D70">
            <w:pPr>
              <w:autoSpaceDE w:val="0"/>
              <w:autoSpaceDN w:val="0"/>
              <w:adjustRightInd w:val="0"/>
              <w:ind w:left="312" w:hanging="142"/>
              <w:jc w:val="both"/>
              <w:rPr>
                <w:sz w:val="16"/>
                <w:szCs w:val="16"/>
              </w:rPr>
            </w:pPr>
            <w:r w:rsidRPr="00DD4FF4">
              <w:rPr>
                <w:sz w:val="16"/>
                <w:szCs w:val="16"/>
              </w:rPr>
              <w:t xml:space="preserve">• Furthermore, Regulation 18 is amended, and a new paragraph 5.2 is added, to apply BDN requirements with minimum content to gas/low-flashpoint fuels. The BDN shall at least contain the information specified in items 1 to 6 of Appendix V of Annex VI, the density determined by a test method appropriate to the fuel type along with the associated temperature along and a signed and certified declaration that the fuel oil conforms with the fuel oil quality requirements of paragraph 3, Regulation 18. </w:t>
            </w:r>
          </w:p>
          <w:p w:rsidR="00F04E67" w:rsidRDefault="00F04E67" w:rsidP="006F5D70">
            <w:pPr>
              <w:autoSpaceDE w:val="0"/>
              <w:autoSpaceDN w:val="0"/>
              <w:adjustRightInd w:val="0"/>
              <w:ind w:left="312" w:hanging="142"/>
              <w:jc w:val="both"/>
              <w:rPr>
                <w:sz w:val="16"/>
                <w:szCs w:val="16"/>
              </w:rPr>
            </w:pPr>
          </w:p>
          <w:p w:rsidR="006F5D70" w:rsidRDefault="006F5D70" w:rsidP="00F04E67">
            <w:pPr>
              <w:autoSpaceDE w:val="0"/>
              <w:autoSpaceDN w:val="0"/>
              <w:adjustRightInd w:val="0"/>
              <w:ind w:left="312" w:hanging="1"/>
              <w:jc w:val="both"/>
              <w:rPr>
                <w:sz w:val="16"/>
                <w:szCs w:val="16"/>
              </w:rPr>
            </w:pPr>
            <w:r w:rsidRPr="00DD4FF4">
              <w:rPr>
                <w:sz w:val="16"/>
                <w:szCs w:val="16"/>
              </w:rPr>
              <w:t xml:space="preserve">Low-flashpoint/gas fuels in principle have very low sulphur content, however </w:t>
            </w:r>
            <w:r w:rsidR="00E103FF">
              <w:rPr>
                <w:sz w:val="16"/>
                <w:szCs w:val="16"/>
              </w:rPr>
              <w:t xml:space="preserve">it was </w:t>
            </w:r>
            <w:r w:rsidRPr="00DD4FF4">
              <w:rPr>
                <w:sz w:val="16"/>
                <w:szCs w:val="16"/>
              </w:rPr>
              <w:t xml:space="preserve">agreed that this information shall still be documented in the BDN by the supplier either in terms of actual value determined by a suitable test method or with the agreement of the appropriate authority at the port of supply that the sulphur content is less than 0.001 percent m/m. </w:t>
            </w:r>
          </w:p>
          <w:p w:rsidR="006F5D70" w:rsidRDefault="006F5D70" w:rsidP="006F5D70">
            <w:pPr>
              <w:autoSpaceDE w:val="0"/>
              <w:autoSpaceDN w:val="0"/>
              <w:adjustRightInd w:val="0"/>
              <w:ind w:left="312" w:hanging="142"/>
              <w:jc w:val="both"/>
              <w:rPr>
                <w:sz w:val="16"/>
                <w:szCs w:val="16"/>
              </w:rPr>
            </w:pPr>
          </w:p>
          <w:p w:rsidR="006F5D70" w:rsidRDefault="006F5D70" w:rsidP="006F5D70">
            <w:pPr>
              <w:autoSpaceDE w:val="0"/>
              <w:autoSpaceDN w:val="0"/>
              <w:adjustRightInd w:val="0"/>
              <w:ind w:left="312" w:hanging="142"/>
              <w:jc w:val="both"/>
              <w:rPr>
                <w:sz w:val="16"/>
                <w:szCs w:val="16"/>
              </w:rPr>
            </w:pPr>
            <w:r w:rsidRPr="00DD4FF4">
              <w:rPr>
                <w:sz w:val="16"/>
                <w:szCs w:val="16"/>
              </w:rPr>
              <w:t xml:space="preserve">• In Regulation 27, Collection and Reporting of ship fuel oil consumption data, two new paragraphs are added. These state that the Secretary-General of the Organization, under strict confidentiality, may share data with analytical consultancies and research entities and, on the request of a company, shall grant access to the fuel oil consumption reports of the company’s owned ship(s) in a non-anonymized form. </w:t>
            </w:r>
          </w:p>
          <w:p w:rsidR="006F5D70" w:rsidRDefault="006F5D70" w:rsidP="006F5D70">
            <w:pPr>
              <w:autoSpaceDE w:val="0"/>
              <w:autoSpaceDN w:val="0"/>
              <w:adjustRightInd w:val="0"/>
              <w:ind w:firstLine="170"/>
              <w:jc w:val="both"/>
              <w:rPr>
                <w:sz w:val="16"/>
                <w:szCs w:val="16"/>
              </w:rPr>
            </w:pPr>
          </w:p>
          <w:p w:rsidR="006F5D70" w:rsidRPr="00DD4FF4" w:rsidRDefault="006F5D70" w:rsidP="006F5D70">
            <w:pPr>
              <w:autoSpaceDE w:val="0"/>
              <w:autoSpaceDN w:val="0"/>
              <w:adjustRightInd w:val="0"/>
              <w:ind w:left="312" w:hanging="142"/>
              <w:jc w:val="both"/>
              <w:rPr>
                <w:sz w:val="16"/>
                <w:szCs w:val="16"/>
              </w:rPr>
            </w:pPr>
            <w:r w:rsidRPr="00DD4FF4">
              <w:rPr>
                <w:sz w:val="16"/>
                <w:szCs w:val="16"/>
              </w:rPr>
              <w:t>• In addition, Paragraph 2.3.5, in Appendix I, Form of International Air Pollution Prevention (IAPP) Certificate (Reg</w:t>
            </w:r>
            <w:r w:rsidR="00EC30E3">
              <w:rPr>
                <w:sz w:val="16"/>
                <w:szCs w:val="16"/>
              </w:rPr>
              <w:t>.</w:t>
            </w:r>
            <w:r w:rsidRPr="00DD4FF4">
              <w:rPr>
                <w:sz w:val="16"/>
                <w:szCs w:val="16"/>
              </w:rPr>
              <w:t xml:space="preserve"> 8) is modified to provide that the requirement for fitting or designating sampling point(s) is not applicable for a fuel oil service system used for a low-flashpoint fuel or </w:t>
            </w:r>
            <w:r w:rsidRPr="00C411E1">
              <w:rPr>
                <w:b/>
                <w:bCs/>
                <w:sz w:val="16"/>
                <w:szCs w:val="16"/>
              </w:rPr>
              <w:t>a gas fuel</w:t>
            </w:r>
            <w:r w:rsidRPr="00DD4FF4">
              <w:rPr>
                <w:sz w:val="16"/>
                <w:szCs w:val="16"/>
              </w:rPr>
              <w:t>.</w:t>
            </w:r>
          </w:p>
          <w:p w:rsidR="006F5D70" w:rsidRDefault="006F5D70" w:rsidP="006F5D70">
            <w:pPr>
              <w:autoSpaceDE w:val="0"/>
              <w:autoSpaceDN w:val="0"/>
              <w:adjustRightInd w:val="0"/>
              <w:jc w:val="both"/>
              <w:rPr>
                <w:sz w:val="16"/>
                <w:szCs w:val="16"/>
              </w:rPr>
            </w:pPr>
          </w:p>
          <w:p w:rsidR="00FB2939" w:rsidRPr="00F150A8" w:rsidRDefault="006F5D70" w:rsidP="00FB2939">
            <w:pPr>
              <w:autoSpaceDE w:val="0"/>
              <w:autoSpaceDN w:val="0"/>
              <w:adjustRightInd w:val="0"/>
              <w:jc w:val="both"/>
              <w:rPr>
                <w:rFonts w:eastAsia="TT15Ct00" w:cs="TT15Ct00"/>
                <w:b/>
                <w:bCs/>
                <w:sz w:val="16"/>
                <w:szCs w:val="16"/>
                <w:lang w:val="en-IN"/>
              </w:rPr>
            </w:pPr>
            <w:r w:rsidRPr="00F150A8">
              <w:rPr>
                <w:b/>
                <w:bCs/>
                <w:sz w:val="16"/>
                <w:szCs w:val="16"/>
              </w:rPr>
              <w:t xml:space="preserve">Ship owners </w:t>
            </w:r>
            <w:r w:rsidR="00E103FF" w:rsidRPr="00F150A8">
              <w:rPr>
                <w:b/>
                <w:bCs/>
                <w:sz w:val="16"/>
                <w:szCs w:val="16"/>
              </w:rPr>
              <w:t xml:space="preserve">are advised to take note of above requirements and are advised </w:t>
            </w:r>
            <w:r w:rsidRPr="00F150A8">
              <w:rPr>
                <w:b/>
                <w:bCs/>
                <w:sz w:val="16"/>
                <w:szCs w:val="16"/>
              </w:rPr>
              <w:t xml:space="preserve">to ensure that the </w:t>
            </w:r>
            <w:r w:rsidR="00FB2939" w:rsidRPr="00F150A8">
              <w:rPr>
                <w:b/>
                <w:bCs/>
                <w:sz w:val="16"/>
                <w:szCs w:val="16"/>
              </w:rPr>
              <w:t>B</w:t>
            </w:r>
            <w:r w:rsidRPr="00F150A8">
              <w:rPr>
                <w:b/>
                <w:bCs/>
                <w:sz w:val="16"/>
                <w:szCs w:val="16"/>
              </w:rPr>
              <w:t xml:space="preserve">unker </w:t>
            </w:r>
            <w:r w:rsidR="00FB2939" w:rsidRPr="00F150A8">
              <w:rPr>
                <w:b/>
                <w:bCs/>
                <w:sz w:val="16"/>
                <w:szCs w:val="16"/>
              </w:rPr>
              <w:t>D</w:t>
            </w:r>
            <w:r w:rsidRPr="00F150A8">
              <w:rPr>
                <w:b/>
                <w:bCs/>
                <w:sz w:val="16"/>
                <w:szCs w:val="16"/>
              </w:rPr>
              <w:t xml:space="preserve">elivery </w:t>
            </w:r>
            <w:r w:rsidR="00FB2939" w:rsidRPr="00F150A8">
              <w:rPr>
                <w:b/>
                <w:bCs/>
                <w:sz w:val="16"/>
                <w:szCs w:val="16"/>
              </w:rPr>
              <w:t>N</w:t>
            </w:r>
            <w:r w:rsidRPr="00F150A8">
              <w:rPr>
                <w:b/>
                <w:bCs/>
                <w:sz w:val="16"/>
                <w:szCs w:val="16"/>
              </w:rPr>
              <w:t xml:space="preserve">ote includes information </w:t>
            </w:r>
            <w:r w:rsidR="00FB2939" w:rsidRPr="00F150A8">
              <w:rPr>
                <w:b/>
                <w:bCs/>
                <w:sz w:val="16"/>
                <w:szCs w:val="16"/>
              </w:rPr>
              <w:t xml:space="preserve">specified in Appendix V of MARPOL Annex VI </w:t>
            </w:r>
            <w:r w:rsidRPr="00F150A8">
              <w:rPr>
                <w:b/>
                <w:bCs/>
                <w:sz w:val="16"/>
                <w:szCs w:val="16"/>
              </w:rPr>
              <w:t xml:space="preserve">for all the fuel </w:t>
            </w:r>
            <w:r w:rsidR="00FB2939" w:rsidRPr="00F150A8">
              <w:rPr>
                <w:b/>
                <w:bCs/>
                <w:sz w:val="16"/>
                <w:szCs w:val="16"/>
              </w:rPr>
              <w:t>carried onboard including for gas fuel.</w:t>
            </w:r>
            <w:r w:rsidR="00FB2939" w:rsidRPr="00F150A8">
              <w:rPr>
                <w:rFonts w:eastAsia="TT15Ct00" w:cs="TT15Ct00"/>
                <w:b/>
                <w:bCs/>
                <w:sz w:val="16"/>
                <w:szCs w:val="16"/>
                <w:lang w:val="en-IN"/>
              </w:rPr>
              <w:t xml:space="preserve"> </w:t>
            </w:r>
          </w:p>
          <w:p w:rsidR="00FB2939" w:rsidRDefault="00FB2939" w:rsidP="00FB2939">
            <w:pPr>
              <w:autoSpaceDE w:val="0"/>
              <w:autoSpaceDN w:val="0"/>
              <w:adjustRightInd w:val="0"/>
              <w:jc w:val="both"/>
              <w:rPr>
                <w:rFonts w:eastAsia="TT15Ct00" w:cs="TT15Ct00"/>
                <w:b/>
                <w:sz w:val="16"/>
                <w:szCs w:val="16"/>
                <w:lang w:val="en-IN"/>
              </w:rPr>
            </w:pPr>
          </w:p>
          <w:p w:rsidR="00FB2939" w:rsidRPr="00FB2939" w:rsidRDefault="00FB2939" w:rsidP="00FB2939">
            <w:pPr>
              <w:autoSpaceDE w:val="0"/>
              <w:autoSpaceDN w:val="0"/>
              <w:adjustRightInd w:val="0"/>
              <w:jc w:val="both"/>
              <w:rPr>
                <w:sz w:val="16"/>
                <w:szCs w:val="16"/>
              </w:rPr>
            </w:pPr>
            <w:r w:rsidRPr="00FB2939">
              <w:rPr>
                <w:sz w:val="16"/>
                <w:szCs w:val="16"/>
              </w:rPr>
              <w:t>Revised IAPP Certificate a/with Supplement will be issued to the ship at the first renewal IAPP survey on or after 1 August 2025.</w:t>
            </w:r>
          </w:p>
          <w:p w:rsidR="00FB2939" w:rsidRPr="00DD4FF4" w:rsidRDefault="00FB2939" w:rsidP="006F5D70">
            <w:pPr>
              <w:autoSpaceDE w:val="0"/>
              <w:autoSpaceDN w:val="0"/>
              <w:adjustRightInd w:val="0"/>
              <w:jc w:val="both"/>
              <w:rPr>
                <w:sz w:val="16"/>
                <w:szCs w:val="16"/>
              </w:rPr>
            </w:pPr>
          </w:p>
          <w:p w:rsidR="006F5D70" w:rsidRPr="0052615F" w:rsidRDefault="006F5D70" w:rsidP="006F5D70">
            <w:pPr>
              <w:autoSpaceDE w:val="0"/>
              <w:autoSpaceDN w:val="0"/>
              <w:adjustRightInd w:val="0"/>
              <w:jc w:val="both"/>
              <w:rPr>
                <w:rFonts w:eastAsia="TT15Ct00" w:cs="TT15Ct00"/>
                <w:b/>
                <w:sz w:val="16"/>
                <w:szCs w:val="16"/>
                <w:lang w:val="en-IN"/>
              </w:rPr>
            </w:pPr>
          </w:p>
        </w:tc>
      </w:tr>
      <w:tr w:rsidR="006F5D70" w:rsidRPr="00202825" w:rsidTr="00A50062">
        <w:trPr>
          <w:trHeight w:val="828"/>
        </w:trPr>
        <w:tc>
          <w:tcPr>
            <w:tcW w:w="443" w:type="dxa"/>
          </w:tcPr>
          <w:p w:rsidR="006F5D70" w:rsidRDefault="00335DA8" w:rsidP="006F5D70">
            <w:pPr>
              <w:jc w:val="both"/>
              <w:rPr>
                <w:sz w:val="16"/>
                <w:szCs w:val="16"/>
              </w:rPr>
            </w:pPr>
            <w:r>
              <w:rPr>
                <w:sz w:val="16"/>
                <w:szCs w:val="16"/>
              </w:rPr>
              <w:lastRenderedPageBreak/>
              <w:t>6</w:t>
            </w:r>
          </w:p>
        </w:tc>
        <w:tc>
          <w:tcPr>
            <w:tcW w:w="1100" w:type="dxa"/>
          </w:tcPr>
          <w:p w:rsidR="006F5D70" w:rsidRDefault="006F5D70" w:rsidP="006F5D70">
            <w:pPr>
              <w:rPr>
                <w:sz w:val="16"/>
                <w:szCs w:val="16"/>
              </w:rPr>
            </w:pPr>
            <w:r>
              <w:rPr>
                <w:sz w:val="16"/>
                <w:szCs w:val="16"/>
              </w:rPr>
              <w:t>Ballast Water Management Convention</w:t>
            </w:r>
          </w:p>
        </w:tc>
        <w:tc>
          <w:tcPr>
            <w:tcW w:w="1180" w:type="dxa"/>
          </w:tcPr>
          <w:p w:rsidR="006F5D70" w:rsidRDefault="006F5D70" w:rsidP="006F5D70">
            <w:pPr>
              <w:jc w:val="both"/>
              <w:rPr>
                <w:sz w:val="16"/>
                <w:szCs w:val="16"/>
              </w:rPr>
            </w:pPr>
            <w:r>
              <w:rPr>
                <w:sz w:val="16"/>
                <w:szCs w:val="16"/>
              </w:rPr>
              <w:t>MEPC. 383(81)</w:t>
            </w:r>
          </w:p>
          <w:p w:rsidR="006F5D70" w:rsidRDefault="006F5D70" w:rsidP="006F5D70">
            <w:pPr>
              <w:jc w:val="both"/>
              <w:rPr>
                <w:sz w:val="16"/>
                <w:szCs w:val="16"/>
              </w:rPr>
            </w:pPr>
          </w:p>
          <w:p w:rsidR="006F5D70" w:rsidRDefault="006F5D70" w:rsidP="006F5D70">
            <w:pPr>
              <w:jc w:val="both"/>
              <w:rPr>
                <w:sz w:val="16"/>
                <w:szCs w:val="16"/>
              </w:rPr>
            </w:pPr>
          </w:p>
          <w:p w:rsidR="006F5D70" w:rsidRPr="00202825" w:rsidRDefault="006F5D70" w:rsidP="006F5D70">
            <w:pPr>
              <w:jc w:val="both"/>
              <w:rPr>
                <w:sz w:val="16"/>
                <w:szCs w:val="16"/>
              </w:rPr>
            </w:pPr>
          </w:p>
        </w:tc>
        <w:tc>
          <w:tcPr>
            <w:tcW w:w="963" w:type="dxa"/>
          </w:tcPr>
          <w:p w:rsidR="006F5D70" w:rsidRPr="00202825" w:rsidRDefault="006F5D70" w:rsidP="006F5D70">
            <w:pPr>
              <w:jc w:val="both"/>
              <w:rPr>
                <w:sz w:val="16"/>
                <w:szCs w:val="16"/>
              </w:rPr>
            </w:pPr>
            <w:r w:rsidRPr="00202825">
              <w:rPr>
                <w:sz w:val="16"/>
                <w:szCs w:val="16"/>
              </w:rPr>
              <w:t>All</w:t>
            </w:r>
          </w:p>
        </w:tc>
        <w:tc>
          <w:tcPr>
            <w:tcW w:w="1021" w:type="dxa"/>
          </w:tcPr>
          <w:p w:rsidR="006F5D70" w:rsidRPr="00202825" w:rsidRDefault="006F5D70" w:rsidP="006F5D70">
            <w:pPr>
              <w:jc w:val="both"/>
              <w:rPr>
                <w:sz w:val="16"/>
                <w:szCs w:val="16"/>
              </w:rPr>
            </w:pPr>
            <w:r w:rsidRPr="00202825">
              <w:rPr>
                <w:sz w:val="16"/>
                <w:szCs w:val="16"/>
              </w:rPr>
              <w:t>All</w:t>
            </w:r>
          </w:p>
        </w:tc>
        <w:tc>
          <w:tcPr>
            <w:tcW w:w="1128" w:type="dxa"/>
          </w:tcPr>
          <w:p w:rsidR="006F5D70" w:rsidRDefault="006F5D70" w:rsidP="006F5D70">
            <w:pPr>
              <w:pStyle w:val="ListParagraph"/>
              <w:tabs>
                <w:tab w:val="left" w:pos="174"/>
              </w:tabs>
              <w:ind w:left="84"/>
              <w:rPr>
                <w:sz w:val="16"/>
                <w:szCs w:val="16"/>
              </w:rPr>
            </w:pPr>
            <w:r w:rsidRPr="00202825">
              <w:rPr>
                <w:sz w:val="16"/>
                <w:szCs w:val="16"/>
              </w:rPr>
              <w:t xml:space="preserve">1 </w:t>
            </w:r>
            <w:r>
              <w:rPr>
                <w:sz w:val="16"/>
                <w:szCs w:val="16"/>
              </w:rPr>
              <w:t>October 2025</w:t>
            </w:r>
          </w:p>
          <w:p w:rsidR="006F5D70" w:rsidRPr="00202825" w:rsidRDefault="006F5D70" w:rsidP="006F5D70">
            <w:pPr>
              <w:pStyle w:val="ListParagraph"/>
              <w:tabs>
                <w:tab w:val="left" w:pos="174"/>
              </w:tabs>
              <w:ind w:left="84"/>
              <w:rPr>
                <w:sz w:val="16"/>
                <w:szCs w:val="16"/>
              </w:rPr>
            </w:pPr>
          </w:p>
        </w:tc>
        <w:tc>
          <w:tcPr>
            <w:tcW w:w="999" w:type="dxa"/>
          </w:tcPr>
          <w:p w:rsidR="006F5D70" w:rsidRPr="00202825" w:rsidRDefault="006F5D70" w:rsidP="006F5D70">
            <w:pPr>
              <w:jc w:val="both"/>
              <w:rPr>
                <w:sz w:val="16"/>
                <w:szCs w:val="16"/>
              </w:rPr>
            </w:pPr>
            <w:r w:rsidRPr="00202825">
              <w:rPr>
                <w:sz w:val="16"/>
                <w:szCs w:val="16"/>
              </w:rPr>
              <w:t>All</w:t>
            </w:r>
          </w:p>
        </w:tc>
        <w:tc>
          <w:tcPr>
            <w:tcW w:w="992" w:type="dxa"/>
          </w:tcPr>
          <w:p w:rsidR="006F5D70" w:rsidRPr="00202825" w:rsidRDefault="006F5D70" w:rsidP="006F5D70">
            <w:pPr>
              <w:jc w:val="both"/>
              <w:rPr>
                <w:sz w:val="16"/>
                <w:szCs w:val="16"/>
              </w:rPr>
            </w:pPr>
            <w:r w:rsidRPr="00202825">
              <w:rPr>
                <w:sz w:val="16"/>
                <w:szCs w:val="16"/>
              </w:rPr>
              <w:t>All</w:t>
            </w:r>
          </w:p>
        </w:tc>
        <w:tc>
          <w:tcPr>
            <w:tcW w:w="1276" w:type="dxa"/>
          </w:tcPr>
          <w:p w:rsidR="006F5D70" w:rsidRDefault="006F5D70" w:rsidP="006F5D70">
            <w:pPr>
              <w:pStyle w:val="ListParagraph"/>
              <w:tabs>
                <w:tab w:val="left" w:pos="174"/>
              </w:tabs>
              <w:ind w:left="84"/>
              <w:rPr>
                <w:sz w:val="16"/>
                <w:szCs w:val="16"/>
              </w:rPr>
            </w:pPr>
            <w:r w:rsidRPr="00202825">
              <w:rPr>
                <w:sz w:val="16"/>
                <w:szCs w:val="16"/>
              </w:rPr>
              <w:t xml:space="preserve">1 </w:t>
            </w:r>
            <w:r>
              <w:rPr>
                <w:sz w:val="16"/>
                <w:szCs w:val="16"/>
              </w:rPr>
              <w:t>October 2025</w:t>
            </w:r>
          </w:p>
          <w:p w:rsidR="006F5D70" w:rsidRPr="00202825" w:rsidRDefault="006F5D70" w:rsidP="006F5D70">
            <w:pPr>
              <w:pStyle w:val="ListParagraph"/>
              <w:tabs>
                <w:tab w:val="left" w:pos="174"/>
              </w:tabs>
              <w:ind w:left="84"/>
              <w:rPr>
                <w:sz w:val="16"/>
                <w:szCs w:val="16"/>
              </w:rPr>
            </w:pPr>
          </w:p>
        </w:tc>
        <w:tc>
          <w:tcPr>
            <w:tcW w:w="6945" w:type="dxa"/>
          </w:tcPr>
          <w:p w:rsidR="006F5D70" w:rsidRDefault="006F5D70" w:rsidP="006F5D70">
            <w:pPr>
              <w:tabs>
                <w:tab w:val="num" w:pos="720"/>
              </w:tabs>
              <w:jc w:val="both"/>
              <w:rPr>
                <w:b/>
                <w:sz w:val="16"/>
                <w:szCs w:val="16"/>
              </w:rPr>
            </w:pPr>
            <w:r w:rsidRPr="0052615F">
              <w:rPr>
                <w:b/>
                <w:sz w:val="16"/>
                <w:szCs w:val="16"/>
              </w:rPr>
              <w:t>Amendments to BWM Convention on Electronic Record Book Format</w:t>
            </w:r>
            <w:r w:rsidR="007943AE">
              <w:rPr>
                <w:b/>
                <w:sz w:val="16"/>
                <w:szCs w:val="16"/>
              </w:rPr>
              <w:t>:</w:t>
            </w:r>
          </w:p>
          <w:p w:rsidR="00A50062" w:rsidRDefault="00A50062" w:rsidP="006F5D70">
            <w:pPr>
              <w:tabs>
                <w:tab w:val="num" w:pos="720"/>
              </w:tabs>
              <w:jc w:val="both"/>
              <w:rPr>
                <w:b/>
                <w:sz w:val="16"/>
                <w:szCs w:val="16"/>
              </w:rPr>
            </w:pPr>
          </w:p>
          <w:p w:rsidR="006F5D70" w:rsidRPr="002B748F" w:rsidRDefault="006F5D70" w:rsidP="006F5D70">
            <w:pPr>
              <w:pStyle w:val="ListParagraph"/>
              <w:numPr>
                <w:ilvl w:val="0"/>
                <w:numId w:val="22"/>
              </w:numPr>
              <w:ind w:left="170" w:hanging="170"/>
              <w:jc w:val="both"/>
              <w:rPr>
                <w:sz w:val="16"/>
                <w:szCs w:val="16"/>
              </w:rPr>
            </w:pPr>
            <w:r w:rsidRPr="002B748F">
              <w:rPr>
                <w:sz w:val="16"/>
                <w:szCs w:val="16"/>
              </w:rPr>
              <w:t xml:space="preserve">The IMO vide MEPC Resolution MEPC.383(81), adopted Amendments to the International Convention for the Control and Management of Ship’s Ballast Water and Sediments, 2004 (Use of Electronic Record Books), amending the International Convention for the Control and management of Ship’s Ballast Water and Sediments, 2004, Appendix II (Form of Ballast Water Record Book). </w:t>
            </w:r>
          </w:p>
          <w:p w:rsidR="006F5D70" w:rsidRDefault="006F5D70" w:rsidP="006F5D70">
            <w:pPr>
              <w:tabs>
                <w:tab w:val="num" w:pos="720"/>
              </w:tabs>
              <w:jc w:val="both"/>
              <w:rPr>
                <w:b/>
                <w:sz w:val="16"/>
                <w:szCs w:val="16"/>
              </w:rPr>
            </w:pPr>
          </w:p>
          <w:p w:rsidR="006F5D70" w:rsidRPr="002B748F" w:rsidRDefault="006F5D70" w:rsidP="006F5D70">
            <w:pPr>
              <w:pStyle w:val="ListParagraph"/>
              <w:numPr>
                <w:ilvl w:val="0"/>
                <w:numId w:val="22"/>
              </w:numPr>
              <w:ind w:left="170" w:hanging="170"/>
              <w:jc w:val="both"/>
              <w:rPr>
                <w:sz w:val="16"/>
                <w:szCs w:val="16"/>
              </w:rPr>
            </w:pPr>
            <w:r w:rsidRPr="002B748F">
              <w:rPr>
                <w:sz w:val="16"/>
                <w:szCs w:val="16"/>
              </w:rPr>
              <w:t xml:space="preserve">Regulation A-1 - Definitions is amended to insert a new paragraph 9, which defines an Electronic Record book as “a device or system, approved by the Administration, used to electronically record the entries for each ballast water operation as required under this Convention in lieu of a hard copy record book." </w:t>
            </w:r>
          </w:p>
          <w:p w:rsidR="006F5D70" w:rsidRPr="002B748F" w:rsidRDefault="006F5D70" w:rsidP="006F5D70">
            <w:pPr>
              <w:pStyle w:val="ListParagraph"/>
              <w:ind w:left="170"/>
              <w:jc w:val="both"/>
              <w:rPr>
                <w:sz w:val="16"/>
                <w:szCs w:val="16"/>
              </w:rPr>
            </w:pPr>
          </w:p>
          <w:p w:rsidR="006F5D70" w:rsidRDefault="006F5D70" w:rsidP="006F5D70">
            <w:pPr>
              <w:pStyle w:val="ListParagraph"/>
              <w:numPr>
                <w:ilvl w:val="0"/>
                <w:numId w:val="22"/>
              </w:numPr>
              <w:ind w:left="170" w:hanging="170"/>
              <w:jc w:val="both"/>
              <w:rPr>
                <w:sz w:val="16"/>
                <w:szCs w:val="16"/>
              </w:rPr>
            </w:pPr>
            <w:r w:rsidRPr="002B748F">
              <w:rPr>
                <w:sz w:val="16"/>
                <w:szCs w:val="16"/>
              </w:rPr>
              <w:lastRenderedPageBreak/>
              <w:t xml:space="preserve">Further, Regulation B-2 Ballast Water Record Book is amended to allow the Ballast Water Record Book to be an electronic record book which shall at least contain the information specified in Appendix II </w:t>
            </w:r>
            <w:r>
              <w:rPr>
                <w:sz w:val="16"/>
                <w:szCs w:val="16"/>
              </w:rPr>
              <w:t xml:space="preserve">and </w:t>
            </w:r>
            <w:r w:rsidRPr="002B748F">
              <w:rPr>
                <w:sz w:val="16"/>
                <w:szCs w:val="16"/>
              </w:rPr>
              <w:t>It also provides that in case the record book entries are in electronic form, each group of electronic entries is to be verified by the master in a timely manner.</w:t>
            </w:r>
          </w:p>
          <w:p w:rsidR="006F5D70" w:rsidRPr="00D6571E" w:rsidRDefault="006F5D70" w:rsidP="006F5D70">
            <w:pPr>
              <w:pStyle w:val="ListParagraph"/>
              <w:rPr>
                <w:sz w:val="16"/>
                <w:szCs w:val="16"/>
              </w:rPr>
            </w:pPr>
          </w:p>
          <w:p w:rsidR="007C17BF" w:rsidRPr="007C17BF" w:rsidRDefault="006F5D70" w:rsidP="006F5D70">
            <w:pPr>
              <w:pStyle w:val="ListParagraph"/>
              <w:numPr>
                <w:ilvl w:val="0"/>
                <w:numId w:val="22"/>
              </w:numPr>
              <w:tabs>
                <w:tab w:val="num" w:pos="720"/>
              </w:tabs>
              <w:ind w:left="170" w:hanging="170"/>
              <w:jc w:val="both"/>
              <w:rPr>
                <w:b/>
                <w:sz w:val="16"/>
                <w:szCs w:val="16"/>
              </w:rPr>
            </w:pPr>
            <w:r w:rsidRPr="00D6571E">
              <w:rPr>
                <w:sz w:val="16"/>
                <w:szCs w:val="16"/>
              </w:rPr>
              <w:t>The use of electronic record keeping systems for Ballast Water Record Books is permitted subject to Administration’s / Recognized Organization’s approval and is based on the software confirming with IMO Resolution MEPC. 372</w:t>
            </w:r>
            <w:r w:rsidR="007943AE">
              <w:rPr>
                <w:sz w:val="16"/>
                <w:szCs w:val="16"/>
              </w:rPr>
              <w:t xml:space="preserve"> </w:t>
            </w:r>
            <w:r w:rsidRPr="00D6571E">
              <w:rPr>
                <w:sz w:val="16"/>
                <w:szCs w:val="16"/>
              </w:rPr>
              <w:t xml:space="preserve">(80). </w:t>
            </w:r>
          </w:p>
          <w:p w:rsidR="007C17BF" w:rsidRPr="007C17BF" w:rsidRDefault="007C17BF" w:rsidP="007C17BF">
            <w:pPr>
              <w:pStyle w:val="ListParagraph"/>
              <w:rPr>
                <w:sz w:val="16"/>
                <w:szCs w:val="16"/>
              </w:rPr>
            </w:pPr>
          </w:p>
          <w:p w:rsidR="006F5D70" w:rsidRPr="007943AE" w:rsidRDefault="006F5D70" w:rsidP="006F5D70">
            <w:pPr>
              <w:pStyle w:val="ListParagraph"/>
              <w:numPr>
                <w:ilvl w:val="0"/>
                <w:numId w:val="22"/>
              </w:numPr>
              <w:tabs>
                <w:tab w:val="num" w:pos="720"/>
              </w:tabs>
              <w:ind w:left="170" w:hanging="170"/>
              <w:jc w:val="both"/>
              <w:rPr>
                <w:b/>
                <w:sz w:val="16"/>
                <w:szCs w:val="16"/>
              </w:rPr>
            </w:pPr>
            <w:r w:rsidRPr="00D6571E">
              <w:rPr>
                <w:sz w:val="16"/>
                <w:szCs w:val="16"/>
              </w:rPr>
              <w:t>When approved, a “Declaration of BWM Convention Electronic Record Book” will be issued by the Administration / Recognized Organization which is to be kept onboard.</w:t>
            </w:r>
          </w:p>
          <w:p w:rsidR="007C17BF" w:rsidRDefault="007C17BF" w:rsidP="00EC30E3">
            <w:pPr>
              <w:pStyle w:val="ListParagraph"/>
              <w:ind w:left="170"/>
              <w:jc w:val="both"/>
              <w:rPr>
                <w:b/>
                <w:sz w:val="16"/>
                <w:szCs w:val="16"/>
              </w:rPr>
            </w:pPr>
          </w:p>
          <w:p w:rsidR="007C17BF" w:rsidRDefault="007943AE" w:rsidP="007C17BF">
            <w:pPr>
              <w:pStyle w:val="ListParagraph"/>
              <w:ind w:left="170"/>
              <w:jc w:val="both"/>
              <w:rPr>
                <w:b/>
                <w:sz w:val="16"/>
                <w:szCs w:val="16"/>
              </w:rPr>
            </w:pPr>
            <w:r>
              <w:rPr>
                <w:b/>
                <w:sz w:val="16"/>
                <w:szCs w:val="16"/>
              </w:rPr>
              <w:t xml:space="preserve">Ship owners/ managers </w:t>
            </w:r>
            <w:r w:rsidR="00EC30E3">
              <w:rPr>
                <w:b/>
                <w:sz w:val="16"/>
                <w:szCs w:val="16"/>
              </w:rPr>
              <w:t>intending to use electronic BWRB are advised to be guided by above and may contact IRS HO for further guidance in this regard.</w:t>
            </w:r>
          </w:p>
          <w:p w:rsidR="00F04E67" w:rsidRPr="00FE4FA3" w:rsidRDefault="00F04E67" w:rsidP="007C17BF">
            <w:pPr>
              <w:pStyle w:val="ListParagraph"/>
              <w:ind w:left="170"/>
              <w:jc w:val="both"/>
              <w:rPr>
                <w:sz w:val="16"/>
                <w:szCs w:val="16"/>
              </w:rPr>
            </w:pPr>
          </w:p>
        </w:tc>
      </w:tr>
      <w:tr w:rsidR="00F27788" w:rsidRPr="00202825" w:rsidTr="00FB2939">
        <w:trPr>
          <w:trHeight w:val="691"/>
        </w:trPr>
        <w:tc>
          <w:tcPr>
            <w:tcW w:w="443" w:type="dxa"/>
          </w:tcPr>
          <w:p w:rsidR="00F27788" w:rsidRDefault="00F27788" w:rsidP="00F27788">
            <w:pPr>
              <w:jc w:val="both"/>
              <w:rPr>
                <w:sz w:val="16"/>
                <w:szCs w:val="16"/>
              </w:rPr>
            </w:pPr>
            <w:r>
              <w:rPr>
                <w:sz w:val="16"/>
                <w:szCs w:val="16"/>
              </w:rPr>
              <w:lastRenderedPageBreak/>
              <w:t>7</w:t>
            </w:r>
          </w:p>
        </w:tc>
        <w:tc>
          <w:tcPr>
            <w:tcW w:w="1100" w:type="dxa"/>
          </w:tcPr>
          <w:p w:rsidR="00F27788" w:rsidRDefault="00D05E63" w:rsidP="00F27788">
            <w:pPr>
              <w:rPr>
                <w:sz w:val="16"/>
                <w:szCs w:val="16"/>
              </w:rPr>
            </w:pPr>
            <w:r w:rsidRPr="00D05E63">
              <w:rPr>
                <w:sz w:val="16"/>
                <w:szCs w:val="16"/>
              </w:rPr>
              <w:t>Hong Kong International Convention for the Safe and Environmentally sound Recycling of Ships, 2009</w:t>
            </w:r>
          </w:p>
        </w:tc>
        <w:tc>
          <w:tcPr>
            <w:tcW w:w="1180" w:type="dxa"/>
          </w:tcPr>
          <w:p w:rsidR="00F27788" w:rsidRDefault="00F27788" w:rsidP="00F27788">
            <w:pPr>
              <w:jc w:val="both"/>
              <w:rPr>
                <w:sz w:val="16"/>
                <w:szCs w:val="16"/>
              </w:rPr>
            </w:pPr>
            <w:r w:rsidRPr="00DF52E4">
              <w:rPr>
                <w:sz w:val="16"/>
                <w:szCs w:val="16"/>
              </w:rPr>
              <w:t>SR/CONF/45</w:t>
            </w:r>
          </w:p>
        </w:tc>
        <w:tc>
          <w:tcPr>
            <w:tcW w:w="963" w:type="dxa"/>
          </w:tcPr>
          <w:p w:rsidR="00F27788" w:rsidRDefault="00F27788" w:rsidP="00F27788">
            <w:pPr>
              <w:jc w:val="both"/>
              <w:rPr>
                <w:rFonts w:eastAsia="TT15Ct00" w:cs="TT15Ct00"/>
                <w:sz w:val="16"/>
                <w:szCs w:val="16"/>
                <w:lang w:val="en-IN"/>
              </w:rPr>
            </w:pPr>
            <w:r w:rsidRPr="00DF52E4">
              <w:rPr>
                <w:sz w:val="16"/>
                <w:szCs w:val="16"/>
              </w:rPr>
              <w:t>All</w:t>
            </w:r>
          </w:p>
        </w:tc>
        <w:tc>
          <w:tcPr>
            <w:tcW w:w="1021" w:type="dxa"/>
          </w:tcPr>
          <w:p w:rsidR="00F27788" w:rsidRDefault="00F27788" w:rsidP="00F27788">
            <w:pPr>
              <w:jc w:val="both"/>
              <w:rPr>
                <w:rFonts w:eastAsia="TT15Ct00" w:cs="TT15Ct00"/>
                <w:sz w:val="16"/>
                <w:szCs w:val="16"/>
                <w:lang w:val="en-IN"/>
              </w:rPr>
            </w:pPr>
            <w:r w:rsidRPr="00DF52E4">
              <w:rPr>
                <w:sz w:val="16"/>
                <w:szCs w:val="16"/>
              </w:rPr>
              <w:t>5,00 GT and above</w:t>
            </w:r>
          </w:p>
        </w:tc>
        <w:tc>
          <w:tcPr>
            <w:tcW w:w="1128" w:type="dxa"/>
          </w:tcPr>
          <w:p w:rsidR="00F27788" w:rsidRPr="0036675D" w:rsidRDefault="00F27788" w:rsidP="00F27788">
            <w:pPr>
              <w:pStyle w:val="ListParagraph"/>
              <w:tabs>
                <w:tab w:val="left" w:pos="174"/>
              </w:tabs>
              <w:ind w:left="84"/>
              <w:rPr>
                <w:rFonts w:eastAsia="TT15Ct00" w:cs="TT15Ct00"/>
                <w:sz w:val="16"/>
                <w:szCs w:val="16"/>
                <w:lang w:val="en-IN"/>
              </w:rPr>
            </w:pPr>
            <w:r w:rsidRPr="00DF52E4">
              <w:rPr>
                <w:sz w:val="16"/>
                <w:szCs w:val="16"/>
              </w:rPr>
              <w:t>Ships for which the building contract is placed on or after 26 June 2025; OR</w:t>
            </w:r>
            <w:r w:rsidRPr="00DF52E4">
              <w:rPr>
                <w:sz w:val="16"/>
                <w:szCs w:val="16"/>
              </w:rPr>
              <w:br/>
              <w:t>in the absence of a building contract, the keel of which is laid, or which is at a similar stage of construction on or after 26 December 2025; OR</w:t>
            </w:r>
            <w:r w:rsidRPr="00DF52E4">
              <w:rPr>
                <w:sz w:val="16"/>
                <w:szCs w:val="16"/>
              </w:rPr>
              <w:br/>
              <w:t>ships the delivery of which is on or after 26 December 2027</w:t>
            </w:r>
          </w:p>
        </w:tc>
        <w:tc>
          <w:tcPr>
            <w:tcW w:w="999" w:type="dxa"/>
          </w:tcPr>
          <w:p w:rsidR="00F27788" w:rsidRDefault="00F27788" w:rsidP="00F27788">
            <w:pPr>
              <w:jc w:val="both"/>
              <w:rPr>
                <w:rFonts w:eastAsia="TT15Ct00" w:cs="TT15Ct00"/>
                <w:sz w:val="16"/>
                <w:szCs w:val="16"/>
                <w:lang w:val="en-IN"/>
              </w:rPr>
            </w:pPr>
            <w:r w:rsidRPr="00DF52E4">
              <w:rPr>
                <w:sz w:val="16"/>
                <w:szCs w:val="16"/>
              </w:rPr>
              <w:t>All</w:t>
            </w:r>
          </w:p>
        </w:tc>
        <w:tc>
          <w:tcPr>
            <w:tcW w:w="992" w:type="dxa"/>
          </w:tcPr>
          <w:p w:rsidR="00F27788" w:rsidRDefault="00F27788" w:rsidP="00F27788">
            <w:pPr>
              <w:jc w:val="both"/>
              <w:rPr>
                <w:rFonts w:eastAsia="TT15Ct00" w:cs="TT15Ct00"/>
                <w:sz w:val="16"/>
                <w:szCs w:val="16"/>
                <w:lang w:val="en-IN"/>
              </w:rPr>
            </w:pPr>
            <w:r w:rsidRPr="00DF52E4">
              <w:rPr>
                <w:sz w:val="16"/>
                <w:szCs w:val="16"/>
              </w:rPr>
              <w:t>5,00 GT and above</w:t>
            </w:r>
          </w:p>
        </w:tc>
        <w:tc>
          <w:tcPr>
            <w:tcW w:w="1276" w:type="dxa"/>
          </w:tcPr>
          <w:p w:rsidR="00F27788" w:rsidRPr="0036675D" w:rsidRDefault="00F27788" w:rsidP="00F27788">
            <w:pPr>
              <w:pStyle w:val="ListParagraph"/>
              <w:tabs>
                <w:tab w:val="left" w:pos="174"/>
              </w:tabs>
              <w:ind w:left="84"/>
              <w:rPr>
                <w:rFonts w:eastAsia="TT15Ct00" w:cs="TT15Ct00"/>
                <w:sz w:val="16"/>
                <w:szCs w:val="16"/>
                <w:lang w:val="en-IN"/>
              </w:rPr>
            </w:pPr>
            <w:r w:rsidRPr="00DF52E4">
              <w:rPr>
                <w:sz w:val="16"/>
                <w:szCs w:val="16"/>
              </w:rPr>
              <w:t>From 26 June 2025 till 26 June 2030; or</w:t>
            </w:r>
            <w:r w:rsidRPr="00DF52E4">
              <w:rPr>
                <w:sz w:val="16"/>
                <w:szCs w:val="16"/>
              </w:rPr>
              <w:br/>
              <w:t>before going for recycling whichever is earlier</w:t>
            </w:r>
          </w:p>
        </w:tc>
        <w:tc>
          <w:tcPr>
            <w:tcW w:w="6945" w:type="dxa"/>
          </w:tcPr>
          <w:p w:rsidR="00F27788" w:rsidRDefault="00F27788" w:rsidP="00F27788">
            <w:pPr>
              <w:autoSpaceDE w:val="0"/>
              <w:autoSpaceDN w:val="0"/>
              <w:adjustRightInd w:val="0"/>
              <w:jc w:val="both"/>
              <w:rPr>
                <w:rFonts w:eastAsia="TT15Ct00" w:cs="TT15Ct00"/>
                <w:b/>
                <w:sz w:val="16"/>
                <w:szCs w:val="16"/>
                <w:lang w:val="en-IN"/>
              </w:rPr>
            </w:pPr>
            <w:r>
              <w:rPr>
                <w:rFonts w:eastAsia="TT15Ct00" w:cs="TT15Ct00"/>
                <w:b/>
                <w:sz w:val="16"/>
                <w:szCs w:val="16"/>
                <w:lang w:val="en-IN"/>
              </w:rPr>
              <w:t xml:space="preserve">Hong Kong International Convention for the Safe and Environmentally sound </w:t>
            </w:r>
            <w:r w:rsidRPr="007B6B61">
              <w:rPr>
                <w:rFonts w:eastAsia="TT15Ct00" w:cs="TT15Ct00"/>
                <w:b/>
                <w:sz w:val="16"/>
                <w:szCs w:val="16"/>
                <w:lang w:val="en-IN"/>
              </w:rPr>
              <w:t xml:space="preserve">Recycling </w:t>
            </w:r>
            <w:r>
              <w:rPr>
                <w:rFonts w:eastAsia="TT15Ct00" w:cs="TT15Ct00"/>
                <w:b/>
                <w:sz w:val="16"/>
                <w:szCs w:val="16"/>
                <w:lang w:val="en-IN"/>
              </w:rPr>
              <w:t>of Ships, 2009:</w:t>
            </w:r>
          </w:p>
          <w:p w:rsidR="00F27788" w:rsidRDefault="00F27788" w:rsidP="00F27788">
            <w:pPr>
              <w:autoSpaceDE w:val="0"/>
              <w:autoSpaceDN w:val="0"/>
              <w:adjustRightInd w:val="0"/>
              <w:jc w:val="both"/>
              <w:rPr>
                <w:rFonts w:eastAsia="TT15Ct00" w:cs="TT15Ct00"/>
                <w:b/>
                <w:sz w:val="16"/>
                <w:szCs w:val="16"/>
                <w:lang w:val="en-IN"/>
              </w:rPr>
            </w:pPr>
          </w:p>
          <w:p w:rsidR="00F27788" w:rsidRDefault="00F27788" w:rsidP="00F27788">
            <w:pPr>
              <w:autoSpaceDE w:val="0"/>
              <w:autoSpaceDN w:val="0"/>
              <w:adjustRightInd w:val="0"/>
              <w:jc w:val="both"/>
              <w:rPr>
                <w:sz w:val="16"/>
                <w:szCs w:val="16"/>
              </w:rPr>
            </w:pPr>
            <w:r>
              <w:rPr>
                <w:sz w:val="16"/>
                <w:szCs w:val="16"/>
              </w:rPr>
              <w:t>T</w:t>
            </w:r>
            <w:r w:rsidRPr="004478C3">
              <w:rPr>
                <w:sz w:val="16"/>
                <w:szCs w:val="16"/>
              </w:rPr>
              <w:t>he Hong Kong International Convention for the Safe and Environmentally Sound Recycling of Ships (HKC) will enter into force on 26 June 2025</w:t>
            </w:r>
            <w:r>
              <w:rPr>
                <w:sz w:val="16"/>
                <w:szCs w:val="16"/>
              </w:rPr>
              <w:t>.</w:t>
            </w:r>
            <w:r w:rsidRPr="004478C3">
              <w:rPr>
                <w:sz w:val="16"/>
                <w:szCs w:val="16"/>
              </w:rPr>
              <w:t xml:space="preserve"> </w:t>
            </w:r>
          </w:p>
          <w:p w:rsidR="00F27788" w:rsidRDefault="00F27788" w:rsidP="00F27788">
            <w:pPr>
              <w:autoSpaceDE w:val="0"/>
              <w:autoSpaceDN w:val="0"/>
              <w:adjustRightInd w:val="0"/>
              <w:jc w:val="both"/>
              <w:rPr>
                <w:sz w:val="16"/>
                <w:szCs w:val="16"/>
              </w:rPr>
            </w:pPr>
          </w:p>
          <w:p w:rsidR="00F27788" w:rsidRDefault="00F27788" w:rsidP="00F27788">
            <w:pPr>
              <w:autoSpaceDE w:val="0"/>
              <w:autoSpaceDN w:val="0"/>
              <w:adjustRightInd w:val="0"/>
              <w:jc w:val="both"/>
              <w:rPr>
                <w:sz w:val="16"/>
                <w:szCs w:val="16"/>
              </w:rPr>
            </w:pPr>
            <w:r w:rsidRPr="004B04B4">
              <w:rPr>
                <w:sz w:val="16"/>
                <w:szCs w:val="16"/>
              </w:rPr>
              <w:t xml:space="preserve">This Convention shall apply to: </w:t>
            </w:r>
          </w:p>
          <w:p w:rsidR="00F27788" w:rsidRDefault="00F27788" w:rsidP="00F27788">
            <w:pPr>
              <w:autoSpaceDE w:val="0"/>
              <w:autoSpaceDN w:val="0"/>
              <w:adjustRightInd w:val="0"/>
              <w:jc w:val="both"/>
              <w:rPr>
                <w:sz w:val="16"/>
                <w:szCs w:val="16"/>
              </w:rPr>
            </w:pPr>
          </w:p>
          <w:p w:rsidR="00F27788" w:rsidRPr="004B04B4" w:rsidRDefault="00F27788" w:rsidP="00F27788">
            <w:pPr>
              <w:pStyle w:val="ListParagraph"/>
              <w:numPr>
                <w:ilvl w:val="0"/>
                <w:numId w:val="27"/>
              </w:numPr>
              <w:autoSpaceDE w:val="0"/>
              <w:autoSpaceDN w:val="0"/>
              <w:adjustRightInd w:val="0"/>
              <w:ind w:left="454" w:hanging="437"/>
              <w:jc w:val="both"/>
              <w:rPr>
                <w:sz w:val="16"/>
                <w:szCs w:val="16"/>
              </w:rPr>
            </w:pPr>
            <w:r w:rsidRPr="004B04B4">
              <w:rPr>
                <w:sz w:val="16"/>
                <w:szCs w:val="16"/>
              </w:rPr>
              <w:t>Ships</w:t>
            </w:r>
            <w:r>
              <w:rPr>
                <w:sz w:val="16"/>
                <w:szCs w:val="16"/>
              </w:rPr>
              <w:t xml:space="preserve"> of 500 GT and above</w:t>
            </w:r>
            <w:r w:rsidRPr="004B04B4">
              <w:rPr>
                <w:sz w:val="16"/>
                <w:szCs w:val="16"/>
              </w:rPr>
              <w:t xml:space="preserve">, and </w:t>
            </w:r>
          </w:p>
          <w:p w:rsidR="00F27788" w:rsidRDefault="00F27788" w:rsidP="00F27788">
            <w:pPr>
              <w:pStyle w:val="ListParagraph"/>
              <w:numPr>
                <w:ilvl w:val="0"/>
                <w:numId w:val="27"/>
              </w:numPr>
              <w:autoSpaceDE w:val="0"/>
              <w:autoSpaceDN w:val="0"/>
              <w:adjustRightInd w:val="0"/>
              <w:ind w:left="454" w:hanging="437"/>
              <w:jc w:val="both"/>
              <w:rPr>
                <w:sz w:val="16"/>
                <w:szCs w:val="16"/>
              </w:rPr>
            </w:pPr>
            <w:r>
              <w:rPr>
                <w:sz w:val="16"/>
                <w:szCs w:val="16"/>
              </w:rPr>
              <w:t>S</w:t>
            </w:r>
            <w:r w:rsidRPr="004B04B4">
              <w:rPr>
                <w:sz w:val="16"/>
                <w:szCs w:val="16"/>
              </w:rPr>
              <w:t xml:space="preserve">hip recycling facilities. </w:t>
            </w:r>
          </w:p>
          <w:p w:rsidR="00F27788" w:rsidRDefault="00F27788" w:rsidP="00F27788">
            <w:pPr>
              <w:autoSpaceDE w:val="0"/>
              <w:autoSpaceDN w:val="0"/>
              <w:adjustRightInd w:val="0"/>
              <w:jc w:val="both"/>
              <w:rPr>
                <w:sz w:val="16"/>
                <w:szCs w:val="16"/>
              </w:rPr>
            </w:pPr>
          </w:p>
          <w:p w:rsidR="00F27788" w:rsidRDefault="00F27788" w:rsidP="00F27788">
            <w:pPr>
              <w:autoSpaceDE w:val="0"/>
              <w:autoSpaceDN w:val="0"/>
              <w:adjustRightInd w:val="0"/>
              <w:jc w:val="both"/>
              <w:rPr>
                <w:sz w:val="16"/>
                <w:szCs w:val="16"/>
              </w:rPr>
            </w:pPr>
            <w:r w:rsidRPr="004B04B4">
              <w:rPr>
                <w:sz w:val="16"/>
                <w:szCs w:val="16"/>
              </w:rPr>
              <w:t>The Convention shall not apply to the following</w:t>
            </w:r>
            <w:r>
              <w:rPr>
                <w:sz w:val="16"/>
                <w:szCs w:val="16"/>
              </w:rPr>
              <w:t>:</w:t>
            </w:r>
            <w:r w:rsidRPr="004B04B4">
              <w:rPr>
                <w:sz w:val="16"/>
                <w:szCs w:val="16"/>
              </w:rPr>
              <w:t xml:space="preserve"> </w:t>
            </w:r>
          </w:p>
          <w:p w:rsidR="00F27788" w:rsidRDefault="00F27788" w:rsidP="00F27788">
            <w:pPr>
              <w:autoSpaceDE w:val="0"/>
              <w:autoSpaceDN w:val="0"/>
              <w:adjustRightInd w:val="0"/>
              <w:jc w:val="both"/>
              <w:rPr>
                <w:sz w:val="16"/>
                <w:szCs w:val="16"/>
              </w:rPr>
            </w:pPr>
          </w:p>
          <w:p w:rsidR="00F27788" w:rsidRPr="004B04B4" w:rsidRDefault="00F27788" w:rsidP="00F27788">
            <w:pPr>
              <w:pStyle w:val="ListParagraph"/>
              <w:numPr>
                <w:ilvl w:val="0"/>
                <w:numId w:val="28"/>
              </w:numPr>
              <w:autoSpaceDE w:val="0"/>
              <w:autoSpaceDN w:val="0"/>
              <w:adjustRightInd w:val="0"/>
              <w:ind w:left="457" w:hanging="426"/>
              <w:jc w:val="both"/>
              <w:rPr>
                <w:sz w:val="16"/>
                <w:szCs w:val="16"/>
              </w:rPr>
            </w:pPr>
            <w:r>
              <w:rPr>
                <w:sz w:val="16"/>
                <w:szCs w:val="16"/>
              </w:rPr>
              <w:t>S</w:t>
            </w:r>
            <w:r w:rsidRPr="004B04B4">
              <w:rPr>
                <w:sz w:val="16"/>
                <w:szCs w:val="16"/>
              </w:rPr>
              <w:t xml:space="preserve">hips of less than 500 GT </w:t>
            </w:r>
          </w:p>
          <w:p w:rsidR="00F27788" w:rsidRPr="004B04B4" w:rsidRDefault="00F27788" w:rsidP="00F27788">
            <w:pPr>
              <w:pStyle w:val="ListParagraph"/>
              <w:numPr>
                <w:ilvl w:val="0"/>
                <w:numId w:val="28"/>
              </w:numPr>
              <w:autoSpaceDE w:val="0"/>
              <w:autoSpaceDN w:val="0"/>
              <w:adjustRightInd w:val="0"/>
              <w:ind w:left="457" w:hanging="426"/>
              <w:jc w:val="both"/>
              <w:rPr>
                <w:sz w:val="16"/>
                <w:szCs w:val="16"/>
              </w:rPr>
            </w:pPr>
            <w:r w:rsidRPr="004B04B4">
              <w:rPr>
                <w:sz w:val="16"/>
                <w:szCs w:val="16"/>
              </w:rPr>
              <w:t>ships operating throughout their life only in waters subject to the sovereignty or jurisdiction of the State whose flag the ship is entitled to fly.</w:t>
            </w:r>
          </w:p>
          <w:p w:rsidR="00F27788" w:rsidRDefault="00F27788" w:rsidP="00F27788">
            <w:pPr>
              <w:autoSpaceDE w:val="0"/>
              <w:autoSpaceDN w:val="0"/>
              <w:adjustRightInd w:val="0"/>
              <w:jc w:val="both"/>
              <w:rPr>
                <w:sz w:val="16"/>
                <w:szCs w:val="16"/>
              </w:rPr>
            </w:pPr>
          </w:p>
          <w:p w:rsidR="00F27788" w:rsidRDefault="00F27788" w:rsidP="00F27788">
            <w:pPr>
              <w:autoSpaceDE w:val="0"/>
              <w:autoSpaceDN w:val="0"/>
              <w:adjustRightInd w:val="0"/>
              <w:jc w:val="both"/>
              <w:rPr>
                <w:sz w:val="16"/>
                <w:szCs w:val="16"/>
              </w:rPr>
            </w:pPr>
            <w:r>
              <w:rPr>
                <w:sz w:val="16"/>
                <w:szCs w:val="16"/>
              </w:rPr>
              <w:t xml:space="preserve">Accordingly, </w:t>
            </w:r>
            <w:r w:rsidRPr="005D5057">
              <w:rPr>
                <w:sz w:val="16"/>
                <w:szCs w:val="16"/>
              </w:rPr>
              <w:t>From 26 June 2025, all new ships will be required to be delivered with an approved Inventory of Hazardous Materials (IHM) (Part I) and corresponding Certificate</w:t>
            </w:r>
            <w:r>
              <w:rPr>
                <w:sz w:val="16"/>
                <w:szCs w:val="16"/>
              </w:rPr>
              <w:t>.</w:t>
            </w:r>
          </w:p>
          <w:p w:rsidR="00F27788" w:rsidRDefault="00F27788" w:rsidP="00F27788">
            <w:pPr>
              <w:autoSpaceDE w:val="0"/>
              <w:autoSpaceDN w:val="0"/>
              <w:adjustRightInd w:val="0"/>
              <w:jc w:val="both"/>
              <w:rPr>
                <w:sz w:val="16"/>
                <w:szCs w:val="16"/>
                <w:vertAlign w:val="superscript"/>
              </w:rPr>
            </w:pPr>
          </w:p>
          <w:p w:rsidR="00F27788" w:rsidRDefault="00F27788" w:rsidP="00F27788">
            <w:pPr>
              <w:autoSpaceDE w:val="0"/>
              <w:autoSpaceDN w:val="0"/>
              <w:adjustRightInd w:val="0"/>
              <w:jc w:val="both"/>
              <w:rPr>
                <w:sz w:val="16"/>
                <w:szCs w:val="16"/>
              </w:rPr>
            </w:pPr>
            <w:r>
              <w:rPr>
                <w:sz w:val="16"/>
                <w:szCs w:val="16"/>
              </w:rPr>
              <w:t xml:space="preserve">Existing Ships - </w:t>
            </w:r>
            <w:r w:rsidRPr="005D5057">
              <w:rPr>
                <w:sz w:val="16"/>
                <w:szCs w:val="16"/>
              </w:rPr>
              <w:t>No later than 25 June 2030 (or before going for recycling if this is earlier), all existing ships will be required to have an approved IHM (Part I), developed and hold a corresponding valid Certificate on board.</w:t>
            </w:r>
          </w:p>
          <w:p w:rsidR="00F27788" w:rsidRDefault="00F27788" w:rsidP="00F27788">
            <w:pPr>
              <w:autoSpaceDE w:val="0"/>
              <w:autoSpaceDN w:val="0"/>
              <w:adjustRightInd w:val="0"/>
              <w:jc w:val="both"/>
              <w:rPr>
                <w:sz w:val="16"/>
                <w:szCs w:val="16"/>
              </w:rPr>
            </w:pPr>
          </w:p>
          <w:p w:rsidR="00F27788" w:rsidRDefault="00F27788" w:rsidP="00F27788">
            <w:pPr>
              <w:autoSpaceDE w:val="0"/>
              <w:autoSpaceDN w:val="0"/>
              <w:adjustRightInd w:val="0"/>
              <w:jc w:val="both"/>
              <w:rPr>
                <w:sz w:val="16"/>
                <w:szCs w:val="16"/>
              </w:rPr>
            </w:pPr>
            <w:r>
              <w:rPr>
                <w:sz w:val="16"/>
                <w:szCs w:val="16"/>
              </w:rPr>
              <w:t>Ships to which Convention applies are to be recycled in a ship recycling facility holding valid Document of Authorization to Conduct Ship Recycling (DASR) from 26</w:t>
            </w:r>
            <w:r w:rsidRPr="00DF1EA5">
              <w:rPr>
                <w:sz w:val="16"/>
                <w:szCs w:val="16"/>
                <w:vertAlign w:val="superscript"/>
              </w:rPr>
              <w:t>th</w:t>
            </w:r>
            <w:r>
              <w:rPr>
                <w:sz w:val="16"/>
                <w:szCs w:val="16"/>
              </w:rPr>
              <w:t xml:space="preserve"> June 2025 onwards. </w:t>
            </w:r>
          </w:p>
          <w:p w:rsidR="00F27788" w:rsidRDefault="00F27788" w:rsidP="00F27788">
            <w:pPr>
              <w:autoSpaceDE w:val="0"/>
              <w:autoSpaceDN w:val="0"/>
              <w:adjustRightInd w:val="0"/>
              <w:jc w:val="both"/>
              <w:rPr>
                <w:sz w:val="16"/>
                <w:szCs w:val="16"/>
              </w:rPr>
            </w:pPr>
          </w:p>
          <w:p w:rsidR="00F27788" w:rsidRDefault="00F27788" w:rsidP="00F27788">
            <w:pPr>
              <w:autoSpaceDE w:val="0"/>
              <w:autoSpaceDN w:val="0"/>
              <w:adjustRightInd w:val="0"/>
              <w:jc w:val="both"/>
              <w:rPr>
                <w:sz w:val="16"/>
                <w:szCs w:val="16"/>
              </w:rPr>
            </w:pPr>
            <w:r w:rsidRPr="00F35499">
              <w:rPr>
                <w:sz w:val="16"/>
                <w:szCs w:val="16"/>
              </w:rPr>
              <w:t>Ship builders, Ship Owners/ Managers and Ship Recycling Companies are advised to take note of above.</w:t>
            </w:r>
          </w:p>
          <w:p w:rsidR="00F27788" w:rsidRDefault="00F27788" w:rsidP="00F27788">
            <w:pPr>
              <w:autoSpaceDE w:val="0"/>
              <w:autoSpaceDN w:val="0"/>
              <w:adjustRightInd w:val="0"/>
              <w:jc w:val="both"/>
              <w:rPr>
                <w:sz w:val="16"/>
                <w:szCs w:val="16"/>
              </w:rPr>
            </w:pPr>
          </w:p>
          <w:p w:rsidR="00F27788" w:rsidRDefault="00F27788" w:rsidP="00F27788">
            <w:pPr>
              <w:autoSpaceDE w:val="0"/>
              <w:autoSpaceDN w:val="0"/>
              <w:adjustRightInd w:val="0"/>
              <w:jc w:val="both"/>
              <w:rPr>
                <w:rFonts w:eastAsia="TT15Ct00" w:cs="TT15Ct00"/>
                <w:b/>
                <w:sz w:val="16"/>
                <w:szCs w:val="16"/>
                <w:lang w:val="en-IN"/>
              </w:rPr>
            </w:pPr>
            <w:r>
              <w:rPr>
                <w:rFonts w:eastAsia="TT15Ct00" w:cs="TT15Ct00"/>
                <w:b/>
                <w:sz w:val="16"/>
                <w:szCs w:val="16"/>
                <w:lang w:val="en-IN"/>
              </w:rPr>
              <w:lastRenderedPageBreak/>
              <w:t>For details, refer IRS Technical Circular No. 032/2023, dated 09 October 2023.</w:t>
            </w:r>
          </w:p>
          <w:p w:rsidR="00F27788" w:rsidRPr="007B6B61" w:rsidRDefault="00F27788" w:rsidP="00F27788">
            <w:pPr>
              <w:autoSpaceDE w:val="0"/>
              <w:autoSpaceDN w:val="0"/>
              <w:adjustRightInd w:val="0"/>
              <w:jc w:val="both"/>
              <w:rPr>
                <w:rFonts w:eastAsia="TT15Ct00" w:cs="TT15Ct00"/>
                <w:b/>
                <w:sz w:val="16"/>
                <w:szCs w:val="16"/>
                <w:lang w:val="en-IN"/>
              </w:rPr>
            </w:pPr>
          </w:p>
        </w:tc>
      </w:tr>
      <w:tr w:rsidR="006F5D70" w:rsidRPr="00202825" w:rsidTr="00A46C60">
        <w:trPr>
          <w:trHeight w:val="1180"/>
        </w:trPr>
        <w:tc>
          <w:tcPr>
            <w:tcW w:w="443" w:type="dxa"/>
          </w:tcPr>
          <w:p w:rsidR="006F5D70" w:rsidRDefault="006F5D70" w:rsidP="006F5D70">
            <w:pPr>
              <w:jc w:val="both"/>
              <w:rPr>
                <w:sz w:val="16"/>
                <w:szCs w:val="16"/>
              </w:rPr>
            </w:pPr>
            <w:r>
              <w:rPr>
                <w:sz w:val="16"/>
                <w:szCs w:val="16"/>
              </w:rPr>
              <w:lastRenderedPageBreak/>
              <w:t>8</w:t>
            </w:r>
          </w:p>
        </w:tc>
        <w:tc>
          <w:tcPr>
            <w:tcW w:w="1100" w:type="dxa"/>
          </w:tcPr>
          <w:p w:rsidR="006F5D70" w:rsidRPr="00202825" w:rsidRDefault="006F5D70" w:rsidP="006F5D70">
            <w:pPr>
              <w:rPr>
                <w:sz w:val="16"/>
                <w:szCs w:val="16"/>
              </w:rPr>
            </w:pPr>
            <w:r>
              <w:rPr>
                <w:sz w:val="16"/>
                <w:szCs w:val="16"/>
              </w:rPr>
              <w:t>IMDG Code</w:t>
            </w:r>
          </w:p>
        </w:tc>
        <w:tc>
          <w:tcPr>
            <w:tcW w:w="1180" w:type="dxa"/>
          </w:tcPr>
          <w:p w:rsidR="006F5D70" w:rsidRDefault="006F5D70" w:rsidP="006F5D70">
            <w:pPr>
              <w:jc w:val="both"/>
              <w:rPr>
                <w:sz w:val="16"/>
                <w:szCs w:val="16"/>
              </w:rPr>
            </w:pPr>
            <w:r>
              <w:rPr>
                <w:sz w:val="16"/>
                <w:szCs w:val="16"/>
              </w:rPr>
              <w:t>MSC.556(108)</w:t>
            </w:r>
          </w:p>
          <w:p w:rsidR="006F5D70" w:rsidRDefault="006F5D70" w:rsidP="006F5D70">
            <w:pPr>
              <w:jc w:val="both"/>
              <w:rPr>
                <w:sz w:val="16"/>
                <w:szCs w:val="16"/>
              </w:rPr>
            </w:pPr>
          </w:p>
          <w:p w:rsidR="006F5D70" w:rsidRPr="00202825" w:rsidRDefault="006F5D70" w:rsidP="006F5D70">
            <w:pPr>
              <w:jc w:val="both"/>
              <w:rPr>
                <w:sz w:val="16"/>
                <w:szCs w:val="16"/>
              </w:rPr>
            </w:pPr>
          </w:p>
        </w:tc>
        <w:tc>
          <w:tcPr>
            <w:tcW w:w="963" w:type="dxa"/>
          </w:tcPr>
          <w:p w:rsidR="006F5D70" w:rsidRPr="00202825" w:rsidRDefault="006F5D70" w:rsidP="006F5D70">
            <w:pPr>
              <w:jc w:val="both"/>
              <w:rPr>
                <w:sz w:val="16"/>
                <w:szCs w:val="16"/>
              </w:rPr>
            </w:pPr>
            <w:r w:rsidRPr="00C8560C">
              <w:rPr>
                <w:sz w:val="16"/>
                <w:szCs w:val="16"/>
              </w:rPr>
              <w:t>Ships carrying IMDG Cargo</w:t>
            </w:r>
          </w:p>
        </w:tc>
        <w:tc>
          <w:tcPr>
            <w:tcW w:w="1021" w:type="dxa"/>
          </w:tcPr>
          <w:p w:rsidR="006F5D70" w:rsidRPr="00202825" w:rsidRDefault="006F5D70" w:rsidP="006F5D70">
            <w:pPr>
              <w:jc w:val="both"/>
              <w:rPr>
                <w:sz w:val="16"/>
                <w:szCs w:val="16"/>
              </w:rPr>
            </w:pPr>
            <w:r w:rsidRPr="00C8560C">
              <w:rPr>
                <w:sz w:val="16"/>
                <w:szCs w:val="16"/>
              </w:rPr>
              <w:t>All</w:t>
            </w:r>
          </w:p>
        </w:tc>
        <w:tc>
          <w:tcPr>
            <w:tcW w:w="1128" w:type="dxa"/>
          </w:tcPr>
          <w:p w:rsidR="006F5D70" w:rsidRPr="00202825" w:rsidRDefault="006F5D70" w:rsidP="006F5D70">
            <w:pPr>
              <w:pStyle w:val="ListParagraph"/>
              <w:tabs>
                <w:tab w:val="left" w:pos="174"/>
              </w:tabs>
              <w:ind w:left="84"/>
              <w:rPr>
                <w:sz w:val="16"/>
                <w:szCs w:val="16"/>
              </w:rPr>
            </w:pPr>
            <w:r w:rsidRPr="00C8560C">
              <w:rPr>
                <w:sz w:val="16"/>
                <w:szCs w:val="16"/>
              </w:rPr>
              <w:t>1 January 202</w:t>
            </w:r>
            <w:r>
              <w:rPr>
                <w:sz w:val="16"/>
                <w:szCs w:val="16"/>
              </w:rPr>
              <w:t>6</w:t>
            </w:r>
            <w:r w:rsidRPr="00C8560C">
              <w:rPr>
                <w:sz w:val="16"/>
                <w:szCs w:val="16"/>
              </w:rPr>
              <w:br/>
              <w:t>Administrations may apply it on a voluntary basis as from 1 January 202</w:t>
            </w:r>
            <w:r>
              <w:rPr>
                <w:sz w:val="16"/>
                <w:szCs w:val="16"/>
              </w:rPr>
              <w:t>5</w:t>
            </w:r>
            <w:r w:rsidRPr="00C8560C">
              <w:rPr>
                <w:sz w:val="16"/>
                <w:szCs w:val="16"/>
              </w:rPr>
              <w:t>.</w:t>
            </w:r>
          </w:p>
        </w:tc>
        <w:tc>
          <w:tcPr>
            <w:tcW w:w="999" w:type="dxa"/>
          </w:tcPr>
          <w:p w:rsidR="006F5D70" w:rsidRPr="00202825" w:rsidRDefault="006F5D70" w:rsidP="006F5D70">
            <w:pPr>
              <w:jc w:val="both"/>
              <w:rPr>
                <w:sz w:val="16"/>
                <w:szCs w:val="16"/>
              </w:rPr>
            </w:pPr>
            <w:r w:rsidRPr="00C8560C">
              <w:rPr>
                <w:sz w:val="16"/>
                <w:szCs w:val="16"/>
              </w:rPr>
              <w:t>Ships carrying IMDG Cargo</w:t>
            </w:r>
          </w:p>
        </w:tc>
        <w:tc>
          <w:tcPr>
            <w:tcW w:w="992" w:type="dxa"/>
          </w:tcPr>
          <w:p w:rsidR="006F5D70" w:rsidRPr="00202825" w:rsidRDefault="006F5D70" w:rsidP="006F5D70">
            <w:pPr>
              <w:jc w:val="both"/>
              <w:rPr>
                <w:sz w:val="16"/>
                <w:szCs w:val="16"/>
              </w:rPr>
            </w:pPr>
            <w:r w:rsidRPr="00C8560C">
              <w:rPr>
                <w:sz w:val="16"/>
                <w:szCs w:val="16"/>
              </w:rPr>
              <w:t>All</w:t>
            </w:r>
          </w:p>
        </w:tc>
        <w:tc>
          <w:tcPr>
            <w:tcW w:w="1276" w:type="dxa"/>
          </w:tcPr>
          <w:p w:rsidR="006F5D70" w:rsidRPr="00202825" w:rsidRDefault="006F5D70" w:rsidP="006F5D70">
            <w:pPr>
              <w:pStyle w:val="ListParagraph"/>
              <w:tabs>
                <w:tab w:val="left" w:pos="174"/>
              </w:tabs>
              <w:ind w:left="84"/>
              <w:rPr>
                <w:sz w:val="16"/>
                <w:szCs w:val="16"/>
              </w:rPr>
            </w:pPr>
            <w:r w:rsidRPr="00C8560C">
              <w:rPr>
                <w:sz w:val="16"/>
                <w:szCs w:val="16"/>
              </w:rPr>
              <w:t>1 January 202</w:t>
            </w:r>
            <w:r>
              <w:rPr>
                <w:sz w:val="16"/>
                <w:szCs w:val="16"/>
              </w:rPr>
              <w:t>6</w:t>
            </w:r>
            <w:r w:rsidRPr="00C8560C">
              <w:rPr>
                <w:sz w:val="16"/>
                <w:szCs w:val="16"/>
              </w:rPr>
              <w:br/>
              <w:t>Administrations may apply it on a voluntary basis as from 1 January 202</w:t>
            </w:r>
            <w:r>
              <w:rPr>
                <w:sz w:val="16"/>
                <w:szCs w:val="16"/>
              </w:rPr>
              <w:t>5</w:t>
            </w:r>
            <w:r w:rsidRPr="00C8560C">
              <w:rPr>
                <w:sz w:val="16"/>
                <w:szCs w:val="16"/>
              </w:rPr>
              <w:t>.</w:t>
            </w:r>
          </w:p>
        </w:tc>
        <w:tc>
          <w:tcPr>
            <w:tcW w:w="6945" w:type="dxa"/>
          </w:tcPr>
          <w:p w:rsidR="006F5D70" w:rsidRDefault="006F5D70" w:rsidP="006F5D70">
            <w:pPr>
              <w:autoSpaceDE w:val="0"/>
              <w:autoSpaceDN w:val="0"/>
              <w:adjustRightInd w:val="0"/>
              <w:rPr>
                <w:rFonts w:eastAsia="TT15Ct00" w:cs="TT15Ct00"/>
                <w:b/>
                <w:sz w:val="16"/>
                <w:szCs w:val="16"/>
                <w:lang w:val="en-IN"/>
              </w:rPr>
            </w:pPr>
            <w:r>
              <w:rPr>
                <w:rFonts w:eastAsia="TT15Ct00" w:cs="TT15Ct00"/>
                <w:b/>
                <w:sz w:val="16"/>
                <w:szCs w:val="16"/>
                <w:lang w:val="en-IN"/>
              </w:rPr>
              <w:t>Amendments to the IMDG Code:</w:t>
            </w:r>
          </w:p>
          <w:p w:rsidR="006F5D70" w:rsidRDefault="006F5D70" w:rsidP="006F5D70">
            <w:pPr>
              <w:autoSpaceDE w:val="0"/>
              <w:autoSpaceDN w:val="0"/>
              <w:adjustRightInd w:val="0"/>
              <w:jc w:val="both"/>
              <w:rPr>
                <w:rFonts w:eastAsia="TT15Ct00" w:cs="TT15Ct00"/>
                <w:sz w:val="16"/>
                <w:szCs w:val="16"/>
                <w:lang w:val="en-IN"/>
              </w:rPr>
            </w:pPr>
          </w:p>
          <w:p w:rsidR="006F5D70" w:rsidRPr="00C8560C" w:rsidRDefault="006F5D70" w:rsidP="006F5D70">
            <w:pPr>
              <w:autoSpaceDE w:val="0"/>
              <w:autoSpaceDN w:val="0"/>
              <w:adjustRightInd w:val="0"/>
              <w:jc w:val="both"/>
              <w:rPr>
                <w:rFonts w:eastAsia="TT15Ct00" w:cs="TT15Ct00"/>
                <w:sz w:val="16"/>
                <w:szCs w:val="16"/>
                <w:lang w:val="en-IN"/>
              </w:rPr>
            </w:pPr>
            <w:r w:rsidRPr="00C8560C">
              <w:rPr>
                <w:rFonts w:eastAsia="TT15Ct00" w:cs="TT15Ct00"/>
                <w:sz w:val="16"/>
                <w:szCs w:val="16"/>
                <w:lang w:val="en-IN"/>
              </w:rPr>
              <w:t xml:space="preserve">The IMDG Code is regularly reviewed to take into account new requirements for existing substances or new substances. </w:t>
            </w:r>
          </w:p>
          <w:p w:rsidR="006F5D70" w:rsidRDefault="006F5D70" w:rsidP="006F5D70">
            <w:pPr>
              <w:autoSpaceDE w:val="0"/>
              <w:autoSpaceDN w:val="0"/>
              <w:adjustRightInd w:val="0"/>
              <w:jc w:val="both"/>
              <w:rPr>
                <w:rFonts w:eastAsia="TT15Ct00" w:cs="TT15Ct00"/>
                <w:sz w:val="16"/>
                <w:szCs w:val="16"/>
                <w:lang w:val="en-IN"/>
              </w:rPr>
            </w:pPr>
          </w:p>
          <w:p w:rsidR="006F5D70" w:rsidRDefault="006F5D70" w:rsidP="006F5D70">
            <w:pPr>
              <w:autoSpaceDE w:val="0"/>
              <w:autoSpaceDN w:val="0"/>
              <w:adjustRightInd w:val="0"/>
              <w:jc w:val="both"/>
              <w:rPr>
                <w:rFonts w:eastAsia="TT15Ct00" w:cs="TT15Ct00"/>
                <w:sz w:val="16"/>
                <w:szCs w:val="16"/>
                <w:lang w:val="en-IN"/>
              </w:rPr>
            </w:pPr>
            <w:r w:rsidRPr="00C8560C">
              <w:rPr>
                <w:rFonts w:eastAsia="TT15Ct00" w:cs="TT15Ct00"/>
                <w:sz w:val="16"/>
                <w:szCs w:val="16"/>
                <w:lang w:val="en-IN"/>
              </w:rPr>
              <w:t>In addition to the regular updates to classification, segregation, packing and markings of dangerous goods, Amendment 4</w:t>
            </w:r>
            <w:r>
              <w:rPr>
                <w:rFonts w:eastAsia="TT15Ct00" w:cs="TT15Ct00"/>
                <w:sz w:val="16"/>
                <w:szCs w:val="16"/>
                <w:lang w:val="en-IN"/>
              </w:rPr>
              <w:t>2</w:t>
            </w:r>
            <w:r w:rsidRPr="00C8560C">
              <w:rPr>
                <w:rFonts w:eastAsia="TT15Ct00" w:cs="TT15Ct00"/>
                <w:sz w:val="16"/>
                <w:szCs w:val="16"/>
                <w:lang w:val="en-IN"/>
              </w:rPr>
              <w:t>-2</w:t>
            </w:r>
            <w:r>
              <w:rPr>
                <w:rFonts w:eastAsia="TT15Ct00" w:cs="TT15Ct00"/>
                <w:sz w:val="16"/>
                <w:szCs w:val="16"/>
                <w:lang w:val="en-IN"/>
              </w:rPr>
              <w:t>4</w:t>
            </w:r>
            <w:r w:rsidRPr="00C8560C">
              <w:rPr>
                <w:rFonts w:eastAsia="TT15Ct00" w:cs="TT15Ct00"/>
                <w:sz w:val="16"/>
                <w:szCs w:val="16"/>
                <w:lang w:val="en-IN"/>
              </w:rPr>
              <w:t xml:space="preserve"> includes;</w:t>
            </w:r>
          </w:p>
          <w:p w:rsidR="006F5D70" w:rsidRPr="00C8560C" w:rsidRDefault="006F5D70" w:rsidP="006F5D70">
            <w:pPr>
              <w:autoSpaceDE w:val="0"/>
              <w:autoSpaceDN w:val="0"/>
              <w:adjustRightInd w:val="0"/>
              <w:jc w:val="both"/>
              <w:rPr>
                <w:rFonts w:eastAsia="TT15Ct00" w:cs="TT15Ct00"/>
                <w:sz w:val="16"/>
                <w:szCs w:val="16"/>
                <w:lang w:val="en-IN"/>
              </w:rPr>
            </w:pPr>
          </w:p>
          <w:p w:rsidR="006F5D70" w:rsidRPr="00C8560C" w:rsidRDefault="006F5D70" w:rsidP="006F5D70">
            <w:pPr>
              <w:numPr>
                <w:ilvl w:val="0"/>
                <w:numId w:val="2"/>
              </w:numPr>
              <w:tabs>
                <w:tab w:val="clear" w:pos="720"/>
                <w:tab w:val="num" w:pos="173"/>
              </w:tabs>
              <w:autoSpaceDE w:val="0"/>
              <w:autoSpaceDN w:val="0"/>
              <w:adjustRightInd w:val="0"/>
              <w:ind w:left="598" w:hanging="567"/>
              <w:jc w:val="both"/>
              <w:rPr>
                <w:rFonts w:eastAsia="TT15Ct00" w:cs="TT15Ct00"/>
                <w:sz w:val="16"/>
                <w:szCs w:val="16"/>
                <w:lang w:val="en-IN"/>
              </w:rPr>
            </w:pPr>
            <w:r w:rsidRPr="00C8560C">
              <w:rPr>
                <w:rFonts w:eastAsia="TT15Ct00" w:cs="TT15Ct00"/>
                <w:sz w:val="16"/>
                <w:szCs w:val="16"/>
                <w:lang w:val="en-IN"/>
              </w:rPr>
              <w:t>Segregation requirements for alcoholates.</w:t>
            </w:r>
          </w:p>
          <w:p w:rsidR="006F5D70" w:rsidRPr="00C8560C" w:rsidRDefault="006F5D70" w:rsidP="006F5D70">
            <w:pPr>
              <w:numPr>
                <w:ilvl w:val="0"/>
                <w:numId w:val="2"/>
              </w:numPr>
              <w:tabs>
                <w:tab w:val="clear" w:pos="720"/>
                <w:tab w:val="num" w:pos="173"/>
              </w:tabs>
              <w:autoSpaceDE w:val="0"/>
              <w:autoSpaceDN w:val="0"/>
              <w:adjustRightInd w:val="0"/>
              <w:ind w:left="598" w:hanging="567"/>
              <w:jc w:val="both"/>
              <w:rPr>
                <w:rFonts w:eastAsia="TT15Ct00" w:cs="TT15Ct00"/>
                <w:sz w:val="16"/>
                <w:szCs w:val="16"/>
                <w:lang w:val="en-IN"/>
              </w:rPr>
            </w:pPr>
            <w:r w:rsidRPr="00C8560C">
              <w:rPr>
                <w:rFonts w:eastAsia="TT15Ct00" w:cs="TT15Ct00"/>
                <w:sz w:val="16"/>
                <w:szCs w:val="16"/>
                <w:lang w:val="en-IN"/>
              </w:rPr>
              <w:t>Amendments to SG 53 and SG 48 regarding liquid organic substances.</w:t>
            </w:r>
          </w:p>
          <w:p w:rsidR="006F5D70" w:rsidRPr="00C8560C" w:rsidRDefault="006F5D70" w:rsidP="006F5D70">
            <w:pPr>
              <w:numPr>
                <w:ilvl w:val="0"/>
                <w:numId w:val="2"/>
              </w:numPr>
              <w:tabs>
                <w:tab w:val="clear" w:pos="720"/>
                <w:tab w:val="num" w:pos="173"/>
              </w:tabs>
              <w:autoSpaceDE w:val="0"/>
              <w:autoSpaceDN w:val="0"/>
              <w:adjustRightInd w:val="0"/>
              <w:ind w:left="173" w:hanging="142"/>
              <w:jc w:val="both"/>
              <w:rPr>
                <w:rFonts w:eastAsia="TT15Ct00" w:cs="TT15Ct00"/>
                <w:sz w:val="16"/>
                <w:szCs w:val="16"/>
                <w:lang w:val="en-IN"/>
              </w:rPr>
            </w:pPr>
            <w:r w:rsidRPr="00C8560C">
              <w:rPr>
                <w:rFonts w:eastAsia="TT15Ct00" w:cs="TT15Ct00"/>
                <w:sz w:val="16"/>
                <w:szCs w:val="16"/>
                <w:lang w:val="en-IN"/>
              </w:rPr>
              <w:t>Amendments to UN 1362 PG II and UN 1362 to clarify the differences between carbon-related substances particularly with regard to charcoal.</w:t>
            </w:r>
          </w:p>
          <w:p w:rsidR="006F5D70" w:rsidRPr="00C8560C" w:rsidRDefault="006F5D70" w:rsidP="006F5D70">
            <w:pPr>
              <w:numPr>
                <w:ilvl w:val="0"/>
                <w:numId w:val="2"/>
              </w:numPr>
              <w:tabs>
                <w:tab w:val="clear" w:pos="720"/>
                <w:tab w:val="num" w:pos="173"/>
              </w:tabs>
              <w:autoSpaceDE w:val="0"/>
              <w:autoSpaceDN w:val="0"/>
              <w:adjustRightInd w:val="0"/>
              <w:ind w:left="598" w:hanging="567"/>
              <w:jc w:val="both"/>
              <w:rPr>
                <w:rFonts w:eastAsia="TT15Ct00" w:cs="TT15Ct00"/>
                <w:sz w:val="16"/>
                <w:szCs w:val="16"/>
                <w:lang w:val="en-IN"/>
              </w:rPr>
            </w:pPr>
            <w:r w:rsidRPr="00C8560C">
              <w:rPr>
                <w:rFonts w:eastAsia="TT15Ct00" w:cs="TT15Ct00"/>
                <w:sz w:val="16"/>
                <w:szCs w:val="16"/>
                <w:lang w:val="en-IN"/>
              </w:rPr>
              <w:t>A new special provision and handling code for medical waste.</w:t>
            </w:r>
          </w:p>
          <w:p w:rsidR="006F5D70" w:rsidRPr="00C8560C" w:rsidRDefault="006F5D70" w:rsidP="006F5D70">
            <w:pPr>
              <w:numPr>
                <w:ilvl w:val="0"/>
                <w:numId w:val="2"/>
              </w:numPr>
              <w:tabs>
                <w:tab w:val="clear" w:pos="720"/>
                <w:tab w:val="num" w:pos="173"/>
              </w:tabs>
              <w:autoSpaceDE w:val="0"/>
              <w:autoSpaceDN w:val="0"/>
              <w:adjustRightInd w:val="0"/>
              <w:ind w:left="173" w:hanging="142"/>
              <w:jc w:val="both"/>
              <w:rPr>
                <w:rFonts w:eastAsia="TT15Ct00" w:cs="TT15Ct00"/>
                <w:sz w:val="16"/>
                <w:szCs w:val="16"/>
                <w:lang w:val="en-IN"/>
              </w:rPr>
            </w:pPr>
            <w:r w:rsidRPr="00C8560C">
              <w:rPr>
                <w:rFonts w:eastAsia="TT15Ct00" w:cs="TT15Ct00"/>
                <w:sz w:val="16"/>
                <w:szCs w:val="16"/>
                <w:lang w:val="en-IN"/>
              </w:rPr>
              <w:t xml:space="preserve">Amendments have also been made to the footnotes in the IMDG Code. Several footnotes in the IMDG Code were found to use mandatory language. These have now been included in the main body of the Code. </w:t>
            </w:r>
          </w:p>
          <w:p w:rsidR="006F5D70" w:rsidRDefault="006F5D70" w:rsidP="006F5D70">
            <w:pPr>
              <w:autoSpaceDE w:val="0"/>
              <w:autoSpaceDN w:val="0"/>
              <w:adjustRightInd w:val="0"/>
              <w:jc w:val="both"/>
              <w:rPr>
                <w:rFonts w:eastAsia="TT15Ct00" w:cs="TT15Ct00"/>
                <w:sz w:val="16"/>
                <w:szCs w:val="16"/>
                <w:lang w:val="en-IN"/>
              </w:rPr>
            </w:pPr>
          </w:p>
          <w:p w:rsidR="006F5D70" w:rsidRPr="00A81310" w:rsidRDefault="006F5D70" w:rsidP="006F5D70">
            <w:pPr>
              <w:autoSpaceDE w:val="0"/>
              <w:autoSpaceDN w:val="0"/>
              <w:adjustRightInd w:val="0"/>
              <w:jc w:val="both"/>
              <w:rPr>
                <w:rFonts w:eastAsia="TT15Ct00" w:cs="TT15Ct00"/>
                <w:b/>
                <w:bCs/>
                <w:sz w:val="16"/>
                <w:szCs w:val="16"/>
                <w:lang w:val="en-IN"/>
              </w:rPr>
            </w:pPr>
            <w:r>
              <w:rPr>
                <w:rFonts w:eastAsia="TT15Ct00" w:cs="TT15Ct00"/>
                <w:b/>
                <w:bCs/>
                <w:sz w:val="16"/>
                <w:szCs w:val="16"/>
                <w:lang w:val="en-IN"/>
              </w:rPr>
              <w:t>The amendments are pertaining to operational requirements and are to be complied with when carrying dangerous goods.</w:t>
            </w:r>
          </w:p>
          <w:p w:rsidR="006F5D70" w:rsidRPr="006415B8" w:rsidRDefault="006F5D70" w:rsidP="006F5D70">
            <w:pPr>
              <w:autoSpaceDE w:val="0"/>
              <w:autoSpaceDN w:val="0"/>
              <w:adjustRightInd w:val="0"/>
              <w:jc w:val="both"/>
              <w:rPr>
                <w:rFonts w:eastAsia="TT15Ct00" w:cs="TT15Ct00"/>
                <w:sz w:val="16"/>
                <w:szCs w:val="16"/>
                <w:lang w:val="en-IN"/>
              </w:rPr>
            </w:pPr>
          </w:p>
        </w:tc>
      </w:tr>
    </w:tbl>
    <w:p w:rsidR="00CD6C8C" w:rsidRPr="00202825" w:rsidRDefault="00CD6C8C" w:rsidP="00B13FF1">
      <w:pPr>
        <w:jc w:val="both"/>
        <w:rPr>
          <w:sz w:val="24"/>
          <w:szCs w:val="24"/>
        </w:rPr>
      </w:pPr>
    </w:p>
    <w:sectPr w:rsidR="00CD6C8C" w:rsidRPr="00202825" w:rsidSect="00CA3E7C">
      <w:headerReference w:type="default" r:id="rId8"/>
      <w:footerReference w:type="default" r:id="rId9"/>
      <w:pgSz w:w="16839" w:h="11907" w:orient="landscape" w:code="9"/>
      <w:pgMar w:top="610" w:right="1440" w:bottom="141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4D17" w:rsidRDefault="00364D17" w:rsidP="006B5381">
      <w:pPr>
        <w:spacing w:after="0" w:line="240" w:lineRule="auto"/>
      </w:pPr>
      <w:r>
        <w:separator/>
      </w:r>
    </w:p>
  </w:endnote>
  <w:endnote w:type="continuationSeparator" w:id="0">
    <w:p w:rsidR="00364D17" w:rsidRDefault="00364D17" w:rsidP="006B53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T15Ct00">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FB2" w:rsidRDefault="00120FB2" w:rsidP="005961CA">
    <w:pPr>
      <w:pStyle w:val="Footer"/>
    </w:pPr>
    <w:r>
      <w:t xml:space="preserve">Page </w:t>
    </w:r>
    <w:r w:rsidR="00264055">
      <w:fldChar w:fldCharType="begin"/>
    </w:r>
    <w:r>
      <w:instrText xml:space="preserve"> PAGE </w:instrText>
    </w:r>
    <w:r w:rsidR="00264055">
      <w:fldChar w:fldCharType="separate"/>
    </w:r>
    <w:r w:rsidR="00F07A9D">
      <w:rPr>
        <w:noProof/>
      </w:rPr>
      <w:t>7</w:t>
    </w:r>
    <w:r w:rsidR="00264055">
      <w:rPr>
        <w:noProof/>
      </w:rPr>
      <w:fldChar w:fldCharType="end"/>
    </w:r>
    <w:r>
      <w:t xml:space="preserve"> of </w:t>
    </w:r>
    <w:r w:rsidR="00264055">
      <w:rPr>
        <w:noProof/>
      </w:rPr>
      <w:fldChar w:fldCharType="begin"/>
    </w:r>
    <w:r>
      <w:rPr>
        <w:noProof/>
      </w:rPr>
      <w:instrText xml:space="preserve"> NUMPAGES </w:instrText>
    </w:r>
    <w:r w:rsidR="00264055">
      <w:rPr>
        <w:noProof/>
      </w:rPr>
      <w:fldChar w:fldCharType="separate"/>
    </w:r>
    <w:r w:rsidR="00F07A9D">
      <w:rPr>
        <w:noProof/>
      </w:rPr>
      <w:t>7</w:t>
    </w:r>
    <w:r w:rsidR="00264055">
      <w:rPr>
        <w:noProof/>
      </w:rPr>
      <w:fldChar w:fldCharType="end"/>
    </w:r>
  </w:p>
  <w:p w:rsidR="00120FB2" w:rsidRDefault="00120FB2" w:rsidP="005961CA">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4D17" w:rsidRDefault="00364D17" w:rsidP="006B5381">
      <w:pPr>
        <w:spacing w:after="0" w:line="240" w:lineRule="auto"/>
      </w:pPr>
      <w:r>
        <w:separator/>
      </w:r>
    </w:p>
  </w:footnote>
  <w:footnote w:type="continuationSeparator" w:id="0">
    <w:p w:rsidR="00364D17" w:rsidRDefault="00364D17" w:rsidP="006B53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FB2" w:rsidRDefault="00120FB2" w:rsidP="006B5381">
    <w:pPr>
      <w:pStyle w:val="Header"/>
      <w:jc w:val="center"/>
      <w:rPr>
        <w:sz w:val="32"/>
        <w:szCs w:val="32"/>
      </w:rPr>
    </w:pPr>
    <w:r w:rsidRPr="00F31C2F">
      <w:rPr>
        <w:sz w:val="32"/>
        <w:szCs w:val="32"/>
      </w:rPr>
      <w:t>Summary of new IMO</w:t>
    </w:r>
    <w:r w:rsidR="00A3772E">
      <w:rPr>
        <w:sz w:val="32"/>
        <w:szCs w:val="32"/>
      </w:rPr>
      <w:t>/ILO</w:t>
    </w:r>
    <w:r w:rsidRPr="00F31C2F">
      <w:rPr>
        <w:sz w:val="32"/>
        <w:szCs w:val="32"/>
      </w:rPr>
      <w:t xml:space="preserve"> requirements </w:t>
    </w:r>
    <w:r>
      <w:rPr>
        <w:sz w:val="32"/>
        <w:szCs w:val="32"/>
      </w:rPr>
      <w:t>coming into force</w:t>
    </w:r>
    <w:r w:rsidR="00CC749A">
      <w:rPr>
        <w:sz w:val="32"/>
        <w:szCs w:val="32"/>
      </w:rPr>
      <w:t xml:space="preserve"> </w:t>
    </w:r>
    <w:r w:rsidR="00C86F7A">
      <w:rPr>
        <w:sz w:val="32"/>
        <w:szCs w:val="32"/>
      </w:rPr>
      <w:t>in 2025</w:t>
    </w:r>
    <w:r>
      <w:rPr>
        <w:sz w:val="32"/>
        <w:szCs w:val="32"/>
      </w:rPr>
      <w:t xml:space="preserve"> </w:t>
    </w:r>
  </w:p>
  <w:tbl>
    <w:tblPr>
      <w:tblStyle w:val="TableGrid"/>
      <w:tblW w:w="16038" w:type="dxa"/>
      <w:tblInd w:w="-743" w:type="dxa"/>
      <w:tblLayout w:type="fixed"/>
      <w:tblLook w:val="04A0"/>
    </w:tblPr>
    <w:tblGrid>
      <w:gridCol w:w="456"/>
      <w:gridCol w:w="1104"/>
      <w:gridCol w:w="1142"/>
      <w:gridCol w:w="1029"/>
      <w:gridCol w:w="990"/>
      <w:gridCol w:w="1147"/>
      <w:gridCol w:w="923"/>
      <w:gridCol w:w="1057"/>
      <w:gridCol w:w="1254"/>
      <w:gridCol w:w="6936"/>
    </w:tblGrid>
    <w:tr w:rsidR="007009EF" w:rsidRPr="00E72131" w:rsidTr="000B2ED0">
      <w:tc>
        <w:tcPr>
          <w:tcW w:w="456" w:type="dxa"/>
          <w:vMerge w:val="restart"/>
        </w:tcPr>
        <w:p w:rsidR="007009EF" w:rsidRPr="00E72131" w:rsidRDefault="007009EF" w:rsidP="005B7F03">
          <w:pPr>
            <w:jc w:val="center"/>
            <w:rPr>
              <w:b/>
              <w:sz w:val="16"/>
              <w:szCs w:val="16"/>
            </w:rPr>
          </w:pPr>
          <w:r w:rsidRPr="00E72131">
            <w:rPr>
              <w:b/>
              <w:sz w:val="16"/>
              <w:szCs w:val="16"/>
            </w:rPr>
            <w:t>Sr. No</w:t>
          </w:r>
        </w:p>
      </w:tc>
      <w:tc>
        <w:tcPr>
          <w:tcW w:w="1104" w:type="dxa"/>
          <w:vMerge w:val="restart"/>
        </w:tcPr>
        <w:p w:rsidR="007009EF" w:rsidRPr="00E72131" w:rsidRDefault="007009EF" w:rsidP="005B7F03">
          <w:pPr>
            <w:jc w:val="center"/>
            <w:rPr>
              <w:b/>
              <w:sz w:val="16"/>
              <w:szCs w:val="16"/>
            </w:rPr>
          </w:pPr>
          <w:r w:rsidRPr="00E72131">
            <w:rPr>
              <w:b/>
              <w:sz w:val="16"/>
              <w:szCs w:val="16"/>
            </w:rPr>
            <w:t>Convention/ Regulation</w:t>
          </w:r>
        </w:p>
      </w:tc>
      <w:tc>
        <w:tcPr>
          <w:tcW w:w="1142" w:type="dxa"/>
          <w:vMerge w:val="restart"/>
        </w:tcPr>
        <w:p w:rsidR="007009EF" w:rsidRPr="00E72131" w:rsidRDefault="007009EF" w:rsidP="005B7F03">
          <w:pPr>
            <w:jc w:val="center"/>
            <w:rPr>
              <w:b/>
              <w:sz w:val="16"/>
              <w:szCs w:val="16"/>
            </w:rPr>
          </w:pPr>
          <w:r w:rsidRPr="00E72131">
            <w:rPr>
              <w:b/>
              <w:sz w:val="16"/>
              <w:szCs w:val="16"/>
            </w:rPr>
            <w:t>Resolution</w:t>
          </w:r>
        </w:p>
      </w:tc>
      <w:tc>
        <w:tcPr>
          <w:tcW w:w="3166" w:type="dxa"/>
          <w:gridSpan w:val="3"/>
        </w:tcPr>
        <w:p w:rsidR="007009EF" w:rsidRPr="00E72131" w:rsidRDefault="007009EF" w:rsidP="005B7F03">
          <w:pPr>
            <w:jc w:val="center"/>
            <w:rPr>
              <w:b/>
              <w:sz w:val="16"/>
              <w:szCs w:val="16"/>
            </w:rPr>
          </w:pPr>
          <w:r>
            <w:rPr>
              <w:b/>
              <w:sz w:val="16"/>
              <w:szCs w:val="16"/>
            </w:rPr>
            <w:t>New Ship</w:t>
          </w:r>
        </w:p>
      </w:tc>
      <w:tc>
        <w:tcPr>
          <w:tcW w:w="3234" w:type="dxa"/>
          <w:gridSpan w:val="3"/>
        </w:tcPr>
        <w:p w:rsidR="007009EF" w:rsidRPr="00E72131" w:rsidRDefault="007009EF" w:rsidP="005B7F03">
          <w:pPr>
            <w:jc w:val="center"/>
            <w:rPr>
              <w:b/>
              <w:sz w:val="16"/>
              <w:szCs w:val="16"/>
            </w:rPr>
          </w:pPr>
          <w:r>
            <w:rPr>
              <w:b/>
              <w:sz w:val="16"/>
              <w:szCs w:val="16"/>
            </w:rPr>
            <w:t>Existing Ship</w:t>
          </w:r>
        </w:p>
      </w:tc>
      <w:tc>
        <w:tcPr>
          <w:tcW w:w="6936" w:type="dxa"/>
          <w:vMerge w:val="restart"/>
        </w:tcPr>
        <w:p w:rsidR="007009EF" w:rsidRPr="00E72131" w:rsidRDefault="007009EF" w:rsidP="005B7F03">
          <w:pPr>
            <w:jc w:val="center"/>
            <w:rPr>
              <w:b/>
              <w:sz w:val="16"/>
              <w:szCs w:val="16"/>
            </w:rPr>
          </w:pPr>
          <w:r w:rsidRPr="00E72131">
            <w:rPr>
              <w:b/>
              <w:sz w:val="16"/>
              <w:szCs w:val="16"/>
            </w:rPr>
            <w:t>Subject</w:t>
          </w:r>
        </w:p>
        <w:p w:rsidR="007009EF" w:rsidRPr="00E72131" w:rsidRDefault="007009EF" w:rsidP="005B7F03">
          <w:pPr>
            <w:jc w:val="center"/>
            <w:rPr>
              <w:b/>
              <w:sz w:val="16"/>
              <w:szCs w:val="16"/>
            </w:rPr>
          </w:pPr>
          <w:r w:rsidRPr="00E72131">
            <w:rPr>
              <w:b/>
              <w:sz w:val="16"/>
              <w:szCs w:val="16"/>
            </w:rPr>
            <w:t>Remarks</w:t>
          </w:r>
        </w:p>
      </w:tc>
    </w:tr>
    <w:tr w:rsidR="007009EF" w:rsidRPr="00E72131" w:rsidTr="000B2ED0">
      <w:tc>
        <w:tcPr>
          <w:tcW w:w="456" w:type="dxa"/>
          <w:vMerge/>
        </w:tcPr>
        <w:p w:rsidR="007009EF" w:rsidRPr="00E72131" w:rsidRDefault="007009EF" w:rsidP="005B7F03">
          <w:pPr>
            <w:jc w:val="center"/>
            <w:rPr>
              <w:b/>
              <w:sz w:val="16"/>
              <w:szCs w:val="16"/>
            </w:rPr>
          </w:pPr>
        </w:p>
      </w:tc>
      <w:tc>
        <w:tcPr>
          <w:tcW w:w="1104" w:type="dxa"/>
          <w:vMerge/>
        </w:tcPr>
        <w:p w:rsidR="007009EF" w:rsidRPr="00E72131" w:rsidRDefault="007009EF" w:rsidP="005B7F03">
          <w:pPr>
            <w:jc w:val="center"/>
            <w:rPr>
              <w:b/>
              <w:sz w:val="16"/>
              <w:szCs w:val="16"/>
            </w:rPr>
          </w:pPr>
        </w:p>
      </w:tc>
      <w:tc>
        <w:tcPr>
          <w:tcW w:w="1142" w:type="dxa"/>
          <w:vMerge/>
        </w:tcPr>
        <w:p w:rsidR="007009EF" w:rsidRPr="00E72131" w:rsidRDefault="007009EF" w:rsidP="005B7F03">
          <w:pPr>
            <w:jc w:val="center"/>
            <w:rPr>
              <w:b/>
              <w:sz w:val="16"/>
              <w:szCs w:val="16"/>
            </w:rPr>
          </w:pPr>
        </w:p>
      </w:tc>
      <w:tc>
        <w:tcPr>
          <w:tcW w:w="1029" w:type="dxa"/>
        </w:tcPr>
        <w:p w:rsidR="007009EF" w:rsidRPr="00E72131" w:rsidRDefault="007009EF" w:rsidP="005B7F03">
          <w:pPr>
            <w:jc w:val="center"/>
            <w:rPr>
              <w:b/>
              <w:sz w:val="16"/>
              <w:szCs w:val="16"/>
            </w:rPr>
          </w:pPr>
          <w:r>
            <w:rPr>
              <w:b/>
              <w:sz w:val="16"/>
              <w:szCs w:val="16"/>
            </w:rPr>
            <w:t>Ship type</w:t>
          </w:r>
        </w:p>
      </w:tc>
      <w:tc>
        <w:tcPr>
          <w:tcW w:w="990" w:type="dxa"/>
        </w:tcPr>
        <w:p w:rsidR="007009EF" w:rsidRPr="00E72131" w:rsidRDefault="007009EF" w:rsidP="005B7F03">
          <w:pPr>
            <w:jc w:val="center"/>
            <w:rPr>
              <w:b/>
              <w:sz w:val="16"/>
              <w:szCs w:val="16"/>
            </w:rPr>
          </w:pPr>
          <w:r>
            <w:rPr>
              <w:b/>
              <w:sz w:val="16"/>
              <w:szCs w:val="16"/>
            </w:rPr>
            <w:t>Size</w:t>
          </w:r>
        </w:p>
      </w:tc>
      <w:tc>
        <w:tcPr>
          <w:tcW w:w="1147" w:type="dxa"/>
        </w:tcPr>
        <w:p w:rsidR="007009EF" w:rsidRPr="00E72131" w:rsidRDefault="007009EF" w:rsidP="005B7F03">
          <w:pPr>
            <w:jc w:val="center"/>
            <w:rPr>
              <w:b/>
              <w:sz w:val="16"/>
              <w:szCs w:val="16"/>
            </w:rPr>
          </w:pPr>
          <w:r>
            <w:rPr>
              <w:b/>
              <w:sz w:val="16"/>
              <w:szCs w:val="16"/>
            </w:rPr>
            <w:t>Compliance date</w:t>
          </w:r>
        </w:p>
      </w:tc>
      <w:tc>
        <w:tcPr>
          <w:tcW w:w="923" w:type="dxa"/>
        </w:tcPr>
        <w:p w:rsidR="007009EF" w:rsidRPr="00E72131" w:rsidRDefault="007009EF" w:rsidP="005B7F03">
          <w:pPr>
            <w:jc w:val="center"/>
            <w:rPr>
              <w:b/>
              <w:sz w:val="16"/>
              <w:szCs w:val="16"/>
            </w:rPr>
          </w:pPr>
          <w:r>
            <w:rPr>
              <w:b/>
              <w:sz w:val="16"/>
              <w:szCs w:val="16"/>
            </w:rPr>
            <w:t>Ship type</w:t>
          </w:r>
        </w:p>
      </w:tc>
      <w:tc>
        <w:tcPr>
          <w:tcW w:w="1057" w:type="dxa"/>
        </w:tcPr>
        <w:p w:rsidR="007009EF" w:rsidRPr="00E72131" w:rsidRDefault="007009EF" w:rsidP="005B7F03">
          <w:pPr>
            <w:jc w:val="center"/>
            <w:rPr>
              <w:b/>
              <w:sz w:val="16"/>
              <w:szCs w:val="16"/>
            </w:rPr>
          </w:pPr>
          <w:r>
            <w:rPr>
              <w:b/>
              <w:sz w:val="16"/>
              <w:szCs w:val="16"/>
            </w:rPr>
            <w:t>Size</w:t>
          </w:r>
        </w:p>
      </w:tc>
      <w:tc>
        <w:tcPr>
          <w:tcW w:w="1254" w:type="dxa"/>
        </w:tcPr>
        <w:p w:rsidR="007009EF" w:rsidRPr="00E72131" w:rsidRDefault="007009EF" w:rsidP="005B7F03">
          <w:pPr>
            <w:jc w:val="center"/>
            <w:rPr>
              <w:b/>
              <w:sz w:val="16"/>
              <w:szCs w:val="16"/>
            </w:rPr>
          </w:pPr>
          <w:r>
            <w:rPr>
              <w:b/>
              <w:sz w:val="16"/>
              <w:szCs w:val="16"/>
            </w:rPr>
            <w:t>Compliance date</w:t>
          </w:r>
        </w:p>
      </w:tc>
      <w:tc>
        <w:tcPr>
          <w:tcW w:w="6936" w:type="dxa"/>
          <w:vMerge/>
        </w:tcPr>
        <w:p w:rsidR="007009EF" w:rsidRPr="00E72131" w:rsidRDefault="007009EF" w:rsidP="005B7F03">
          <w:pPr>
            <w:jc w:val="center"/>
            <w:rPr>
              <w:b/>
              <w:sz w:val="16"/>
              <w:szCs w:val="16"/>
            </w:rPr>
          </w:pPr>
        </w:p>
      </w:tc>
    </w:tr>
  </w:tbl>
  <w:p w:rsidR="00120FB2" w:rsidRPr="00F6237C" w:rsidRDefault="00120FB2" w:rsidP="00F6237C">
    <w:pPr>
      <w:pStyle w:val="Header"/>
      <w:jc w:val="cente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225B0"/>
    <w:multiLevelType w:val="hybridMultilevel"/>
    <w:tmpl w:val="F984FB64"/>
    <w:lvl w:ilvl="0" w:tplc="270C4410">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B0438A1"/>
    <w:multiLevelType w:val="hybridMultilevel"/>
    <w:tmpl w:val="B40837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10703B15"/>
    <w:multiLevelType w:val="hybridMultilevel"/>
    <w:tmpl w:val="949251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1D265D8"/>
    <w:multiLevelType w:val="hybridMultilevel"/>
    <w:tmpl w:val="DBBA2B34"/>
    <w:lvl w:ilvl="0" w:tplc="4009000B">
      <w:start w:val="1"/>
      <w:numFmt w:val="bullet"/>
      <w:lvlText w:val=""/>
      <w:lvlJc w:val="left"/>
      <w:pPr>
        <w:ind w:left="720" w:hanging="360"/>
      </w:pPr>
      <w:rPr>
        <w:rFonts w:ascii="Wingdings" w:hAnsi="Wingdings" w:hint="default"/>
      </w:rPr>
    </w:lvl>
    <w:lvl w:ilvl="1" w:tplc="CCC681B2">
      <w:start w:val="17"/>
      <w:numFmt w:val="bullet"/>
      <w:lvlText w:val="–"/>
      <w:lvlJc w:val="left"/>
      <w:pPr>
        <w:ind w:left="1800" w:hanging="720"/>
      </w:pPr>
      <w:rPr>
        <w:rFonts w:ascii="Arial" w:eastAsia="Times New Roman" w:hAnsi="Arial" w:cs="Aria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25D3FCB"/>
    <w:multiLevelType w:val="hybridMultilevel"/>
    <w:tmpl w:val="C7408BF6"/>
    <w:lvl w:ilvl="0" w:tplc="B094B79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6FE3DF6"/>
    <w:multiLevelType w:val="hybridMultilevel"/>
    <w:tmpl w:val="B40837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A155637"/>
    <w:multiLevelType w:val="hybridMultilevel"/>
    <w:tmpl w:val="70C82A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1B8564B"/>
    <w:multiLevelType w:val="hybridMultilevel"/>
    <w:tmpl w:val="B40837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240D3E54"/>
    <w:multiLevelType w:val="hybridMultilevel"/>
    <w:tmpl w:val="799846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C405E2D"/>
    <w:multiLevelType w:val="hybridMultilevel"/>
    <w:tmpl w:val="A8CC462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EE71AE7"/>
    <w:multiLevelType w:val="hybridMultilevel"/>
    <w:tmpl w:val="6CC2D770"/>
    <w:lvl w:ilvl="0" w:tplc="40090001">
      <w:start w:val="1"/>
      <w:numFmt w:val="bullet"/>
      <w:lvlText w:val=""/>
      <w:lvlJc w:val="left"/>
      <w:pPr>
        <w:ind w:left="1035" w:hanging="360"/>
      </w:pPr>
      <w:rPr>
        <w:rFonts w:ascii="Symbol" w:hAnsi="Symbol" w:hint="default"/>
      </w:rPr>
    </w:lvl>
    <w:lvl w:ilvl="1" w:tplc="40090003" w:tentative="1">
      <w:start w:val="1"/>
      <w:numFmt w:val="bullet"/>
      <w:lvlText w:val="o"/>
      <w:lvlJc w:val="left"/>
      <w:pPr>
        <w:ind w:left="1755" w:hanging="360"/>
      </w:pPr>
      <w:rPr>
        <w:rFonts w:ascii="Courier New" w:hAnsi="Courier New" w:cs="Courier New" w:hint="default"/>
      </w:rPr>
    </w:lvl>
    <w:lvl w:ilvl="2" w:tplc="40090005" w:tentative="1">
      <w:start w:val="1"/>
      <w:numFmt w:val="bullet"/>
      <w:lvlText w:val=""/>
      <w:lvlJc w:val="left"/>
      <w:pPr>
        <w:ind w:left="2475" w:hanging="360"/>
      </w:pPr>
      <w:rPr>
        <w:rFonts w:ascii="Wingdings" w:hAnsi="Wingdings" w:hint="default"/>
      </w:rPr>
    </w:lvl>
    <w:lvl w:ilvl="3" w:tplc="40090001" w:tentative="1">
      <w:start w:val="1"/>
      <w:numFmt w:val="bullet"/>
      <w:lvlText w:val=""/>
      <w:lvlJc w:val="left"/>
      <w:pPr>
        <w:ind w:left="3195" w:hanging="360"/>
      </w:pPr>
      <w:rPr>
        <w:rFonts w:ascii="Symbol" w:hAnsi="Symbol" w:hint="default"/>
      </w:rPr>
    </w:lvl>
    <w:lvl w:ilvl="4" w:tplc="40090003" w:tentative="1">
      <w:start w:val="1"/>
      <w:numFmt w:val="bullet"/>
      <w:lvlText w:val="o"/>
      <w:lvlJc w:val="left"/>
      <w:pPr>
        <w:ind w:left="3915" w:hanging="360"/>
      </w:pPr>
      <w:rPr>
        <w:rFonts w:ascii="Courier New" w:hAnsi="Courier New" w:cs="Courier New" w:hint="default"/>
      </w:rPr>
    </w:lvl>
    <w:lvl w:ilvl="5" w:tplc="40090005" w:tentative="1">
      <w:start w:val="1"/>
      <w:numFmt w:val="bullet"/>
      <w:lvlText w:val=""/>
      <w:lvlJc w:val="left"/>
      <w:pPr>
        <w:ind w:left="4635" w:hanging="360"/>
      </w:pPr>
      <w:rPr>
        <w:rFonts w:ascii="Wingdings" w:hAnsi="Wingdings" w:hint="default"/>
      </w:rPr>
    </w:lvl>
    <w:lvl w:ilvl="6" w:tplc="40090001" w:tentative="1">
      <w:start w:val="1"/>
      <w:numFmt w:val="bullet"/>
      <w:lvlText w:val=""/>
      <w:lvlJc w:val="left"/>
      <w:pPr>
        <w:ind w:left="5355" w:hanging="360"/>
      </w:pPr>
      <w:rPr>
        <w:rFonts w:ascii="Symbol" w:hAnsi="Symbol" w:hint="default"/>
      </w:rPr>
    </w:lvl>
    <w:lvl w:ilvl="7" w:tplc="40090003" w:tentative="1">
      <w:start w:val="1"/>
      <w:numFmt w:val="bullet"/>
      <w:lvlText w:val="o"/>
      <w:lvlJc w:val="left"/>
      <w:pPr>
        <w:ind w:left="6075" w:hanging="360"/>
      </w:pPr>
      <w:rPr>
        <w:rFonts w:ascii="Courier New" w:hAnsi="Courier New" w:cs="Courier New" w:hint="default"/>
      </w:rPr>
    </w:lvl>
    <w:lvl w:ilvl="8" w:tplc="40090005" w:tentative="1">
      <w:start w:val="1"/>
      <w:numFmt w:val="bullet"/>
      <w:lvlText w:val=""/>
      <w:lvlJc w:val="left"/>
      <w:pPr>
        <w:ind w:left="6795" w:hanging="360"/>
      </w:pPr>
      <w:rPr>
        <w:rFonts w:ascii="Wingdings" w:hAnsi="Wingdings" w:hint="default"/>
      </w:rPr>
    </w:lvl>
  </w:abstractNum>
  <w:abstractNum w:abstractNumId="11">
    <w:nsid w:val="309629AF"/>
    <w:multiLevelType w:val="hybridMultilevel"/>
    <w:tmpl w:val="D0C22D04"/>
    <w:lvl w:ilvl="0" w:tplc="40090001">
      <w:start w:val="1"/>
      <w:numFmt w:val="bullet"/>
      <w:lvlText w:val=""/>
      <w:lvlJc w:val="left"/>
      <w:pPr>
        <w:ind w:left="983" w:hanging="360"/>
      </w:pPr>
      <w:rPr>
        <w:rFonts w:ascii="Symbol" w:hAnsi="Symbol" w:hint="default"/>
      </w:rPr>
    </w:lvl>
    <w:lvl w:ilvl="1" w:tplc="40090003" w:tentative="1">
      <w:start w:val="1"/>
      <w:numFmt w:val="bullet"/>
      <w:lvlText w:val="o"/>
      <w:lvlJc w:val="left"/>
      <w:pPr>
        <w:ind w:left="1703" w:hanging="360"/>
      </w:pPr>
      <w:rPr>
        <w:rFonts w:ascii="Courier New" w:hAnsi="Courier New" w:cs="Courier New" w:hint="default"/>
      </w:rPr>
    </w:lvl>
    <w:lvl w:ilvl="2" w:tplc="40090005" w:tentative="1">
      <w:start w:val="1"/>
      <w:numFmt w:val="bullet"/>
      <w:lvlText w:val=""/>
      <w:lvlJc w:val="left"/>
      <w:pPr>
        <w:ind w:left="2423" w:hanging="360"/>
      </w:pPr>
      <w:rPr>
        <w:rFonts w:ascii="Wingdings" w:hAnsi="Wingdings" w:hint="default"/>
      </w:rPr>
    </w:lvl>
    <w:lvl w:ilvl="3" w:tplc="40090001" w:tentative="1">
      <w:start w:val="1"/>
      <w:numFmt w:val="bullet"/>
      <w:lvlText w:val=""/>
      <w:lvlJc w:val="left"/>
      <w:pPr>
        <w:ind w:left="3143" w:hanging="360"/>
      </w:pPr>
      <w:rPr>
        <w:rFonts w:ascii="Symbol" w:hAnsi="Symbol" w:hint="default"/>
      </w:rPr>
    </w:lvl>
    <w:lvl w:ilvl="4" w:tplc="40090003" w:tentative="1">
      <w:start w:val="1"/>
      <w:numFmt w:val="bullet"/>
      <w:lvlText w:val="o"/>
      <w:lvlJc w:val="left"/>
      <w:pPr>
        <w:ind w:left="3863" w:hanging="360"/>
      </w:pPr>
      <w:rPr>
        <w:rFonts w:ascii="Courier New" w:hAnsi="Courier New" w:cs="Courier New" w:hint="default"/>
      </w:rPr>
    </w:lvl>
    <w:lvl w:ilvl="5" w:tplc="40090005" w:tentative="1">
      <w:start w:val="1"/>
      <w:numFmt w:val="bullet"/>
      <w:lvlText w:val=""/>
      <w:lvlJc w:val="left"/>
      <w:pPr>
        <w:ind w:left="4583" w:hanging="360"/>
      </w:pPr>
      <w:rPr>
        <w:rFonts w:ascii="Wingdings" w:hAnsi="Wingdings" w:hint="default"/>
      </w:rPr>
    </w:lvl>
    <w:lvl w:ilvl="6" w:tplc="40090001" w:tentative="1">
      <w:start w:val="1"/>
      <w:numFmt w:val="bullet"/>
      <w:lvlText w:val=""/>
      <w:lvlJc w:val="left"/>
      <w:pPr>
        <w:ind w:left="5303" w:hanging="360"/>
      </w:pPr>
      <w:rPr>
        <w:rFonts w:ascii="Symbol" w:hAnsi="Symbol" w:hint="default"/>
      </w:rPr>
    </w:lvl>
    <w:lvl w:ilvl="7" w:tplc="40090003" w:tentative="1">
      <w:start w:val="1"/>
      <w:numFmt w:val="bullet"/>
      <w:lvlText w:val="o"/>
      <w:lvlJc w:val="left"/>
      <w:pPr>
        <w:ind w:left="6023" w:hanging="360"/>
      </w:pPr>
      <w:rPr>
        <w:rFonts w:ascii="Courier New" w:hAnsi="Courier New" w:cs="Courier New" w:hint="default"/>
      </w:rPr>
    </w:lvl>
    <w:lvl w:ilvl="8" w:tplc="40090005" w:tentative="1">
      <w:start w:val="1"/>
      <w:numFmt w:val="bullet"/>
      <w:lvlText w:val=""/>
      <w:lvlJc w:val="left"/>
      <w:pPr>
        <w:ind w:left="6743" w:hanging="360"/>
      </w:pPr>
      <w:rPr>
        <w:rFonts w:ascii="Wingdings" w:hAnsi="Wingdings" w:hint="default"/>
      </w:rPr>
    </w:lvl>
  </w:abstractNum>
  <w:abstractNum w:abstractNumId="12">
    <w:nsid w:val="31DE4613"/>
    <w:multiLevelType w:val="hybridMultilevel"/>
    <w:tmpl w:val="31DE86E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31F12EB1"/>
    <w:multiLevelType w:val="hybridMultilevel"/>
    <w:tmpl w:val="B40837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398F68AC"/>
    <w:multiLevelType w:val="hybridMultilevel"/>
    <w:tmpl w:val="9A6C862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3A156A33"/>
    <w:multiLevelType w:val="hybridMultilevel"/>
    <w:tmpl w:val="447E0D32"/>
    <w:lvl w:ilvl="0" w:tplc="93AA4408">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BDE029E"/>
    <w:multiLevelType w:val="hybridMultilevel"/>
    <w:tmpl w:val="4446BC8E"/>
    <w:lvl w:ilvl="0" w:tplc="4A46C98C">
      <w:start w:val="1"/>
      <w:numFmt w:val="bullet"/>
      <w:lvlText w:val="•"/>
      <w:lvlJc w:val="left"/>
      <w:pPr>
        <w:tabs>
          <w:tab w:val="num" w:pos="720"/>
        </w:tabs>
        <w:ind w:left="720" w:hanging="360"/>
      </w:pPr>
      <w:rPr>
        <w:rFonts w:ascii="Arial" w:hAnsi="Arial" w:hint="default"/>
      </w:rPr>
    </w:lvl>
    <w:lvl w:ilvl="1" w:tplc="7BD4FF98" w:tentative="1">
      <w:start w:val="1"/>
      <w:numFmt w:val="bullet"/>
      <w:lvlText w:val="•"/>
      <w:lvlJc w:val="left"/>
      <w:pPr>
        <w:tabs>
          <w:tab w:val="num" w:pos="1440"/>
        </w:tabs>
        <w:ind w:left="1440" w:hanging="360"/>
      </w:pPr>
      <w:rPr>
        <w:rFonts w:ascii="Arial" w:hAnsi="Arial" w:hint="default"/>
      </w:rPr>
    </w:lvl>
    <w:lvl w:ilvl="2" w:tplc="128A8F1E" w:tentative="1">
      <w:start w:val="1"/>
      <w:numFmt w:val="bullet"/>
      <w:lvlText w:val="•"/>
      <w:lvlJc w:val="left"/>
      <w:pPr>
        <w:tabs>
          <w:tab w:val="num" w:pos="2160"/>
        </w:tabs>
        <w:ind w:left="2160" w:hanging="360"/>
      </w:pPr>
      <w:rPr>
        <w:rFonts w:ascii="Arial" w:hAnsi="Arial" w:hint="default"/>
      </w:rPr>
    </w:lvl>
    <w:lvl w:ilvl="3" w:tplc="F0A8F41A" w:tentative="1">
      <w:start w:val="1"/>
      <w:numFmt w:val="bullet"/>
      <w:lvlText w:val="•"/>
      <w:lvlJc w:val="left"/>
      <w:pPr>
        <w:tabs>
          <w:tab w:val="num" w:pos="2880"/>
        </w:tabs>
        <w:ind w:left="2880" w:hanging="360"/>
      </w:pPr>
      <w:rPr>
        <w:rFonts w:ascii="Arial" w:hAnsi="Arial" w:hint="default"/>
      </w:rPr>
    </w:lvl>
    <w:lvl w:ilvl="4" w:tplc="2346BC4A" w:tentative="1">
      <w:start w:val="1"/>
      <w:numFmt w:val="bullet"/>
      <w:lvlText w:val="•"/>
      <w:lvlJc w:val="left"/>
      <w:pPr>
        <w:tabs>
          <w:tab w:val="num" w:pos="3600"/>
        </w:tabs>
        <w:ind w:left="3600" w:hanging="360"/>
      </w:pPr>
      <w:rPr>
        <w:rFonts w:ascii="Arial" w:hAnsi="Arial" w:hint="default"/>
      </w:rPr>
    </w:lvl>
    <w:lvl w:ilvl="5" w:tplc="1AEAFE12" w:tentative="1">
      <w:start w:val="1"/>
      <w:numFmt w:val="bullet"/>
      <w:lvlText w:val="•"/>
      <w:lvlJc w:val="left"/>
      <w:pPr>
        <w:tabs>
          <w:tab w:val="num" w:pos="4320"/>
        </w:tabs>
        <w:ind w:left="4320" w:hanging="360"/>
      </w:pPr>
      <w:rPr>
        <w:rFonts w:ascii="Arial" w:hAnsi="Arial" w:hint="default"/>
      </w:rPr>
    </w:lvl>
    <w:lvl w:ilvl="6" w:tplc="9AAEA0B6" w:tentative="1">
      <w:start w:val="1"/>
      <w:numFmt w:val="bullet"/>
      <w:lvlText w:val="•"/>
      <w:lvlJc w:val="left"/>
      <w:pPr>
        <w:tabs>
          <w:tab w:val="num" w:pos="5040"/>
        </w:tabs>
        <w:ind w:left="5040" w:hanging="360"/>
      </w:pPr>
      <w:rPr>
        <w:rFonts w:ascii="Arial" w:hAnsi="Arial" w:hint="default"/>
      </w:rPr>
    </w:lvl>
    <w:lvl w:ilvl="7" w:tplc="CF78EC38" w:tentative="1">
      <w:start w:val="1"/>
      <w:numFmt w:val="bullet"/>
      <w:lvlText w:val="•"/>
      <w:lvlJc w:val="left"/>
      <w:pPr>
        <w:tabs>
          <w:tab w:val="num" w:pos="5760"/>
        </w:tabs>
        <w:ind w:left="5760" w:hanging="360"/>
      </w:pPr>
      <w:rPr>
        <w:rFonts w:ascii="Arial" w:hAnsi="Arial" w:hint="default"/>
      </w:rPr>
    </w:lvl>
    <w:lvl w:ilvl="8" w:tplc="D5C6C234" w:tentative="1">
      <w:start w:val="1"/>
      <w:numFmt w:val="bullet"/>
      <w:lvlText w:val="•"/>
      <w:lvlJc w:val="left"/>
      <w:pPr>
        <w:tabs>
          <w:tab w:val="num" w:pos="6480"/>
        </w:tabs>
        <w:ind w:left="6480" w:hanging="360"/>
      </w:pPr>
      <w:rPr>
        <w:rFonts w:ascii="Arial" w:hAnsi="Arial" w:hint="default"/>
      </w:rPr>
    </w:lvl>
  </w:abstractNum>
  <w:abstractNum w:abstractNumId="17">
    <w:nsid w:val="53EE09C2"/>
    <w:multiLevelType w:val="hybridMultilevel"/>
    <w:tmpl w:val="447E0D32"/>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551147F5"/>
    <w:multiLevelType w:val="hybridMultilevel"/>
    <w:tmpl w:val="7592CAE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9">
    <w:nsid w:val="59B13384"/>
    <w:multiLevelType w:val="hybridMultilevel"/>
    <w:tmpl w:val="37FE661E"/>
    <w:lvl w:ilvl="0" w:tplc="16B8EDA2">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60D5153E"/>
    <w:multiLevelType w:val="hybridMultilevel"/>
    <w:tmpl w:val="429824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62AD57F8"/>
    <w:multiLevelType w:val="hybridMultilevel"/>
    <w:tmpl w:val="73D420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69C86834"/>
    <w:multiLevelType w:val="hybridMultilevel"/>
    <w:tmpl w:val="FD38DA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6D355A14"/>
    <w:multiLevelType w:val="hybridMultilevel"/>
    <w:tmpl w:val="00BED38A"/>
    <w:lvl w:ilvl="0" w:tplc="2668E84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701B1176"/>
    <w:multiLevelType w:val="hybridMultilevel"/>
    <w:tmpl w:val="4052F9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750D4D45"/>
    <w:multiLevelType w:val="hybridMultilevel"/>
    <w:tmpl w:val="9DAAF9C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6">
    <w:nsid w:val="75C029B1"/>
    <w:multiLevelType w:val="hybridMultilevel"/>
    <w:tmpl w:val="6BAAD2B4"/>
    <w:lvl w:ilvl="0" w:tplc="CEEA7EC2">
      <w:start w:val="1"/>
      <w:numFmt w:val="bullet"/>
      <w:lvlText w:val=""/>
      <w:lvlJc w:val="left"/>
      <w:pPr>
        <w:tabs>
          <w:tab w:val="num" w:pos="720"/>
        </w:tabs>
        <w:ind w:left="720" w:hanging="360"/>
      </w:pPr>
      <w:rPr>
        <w:rFonts w:ascii="Wingdings" w:hAnsi="Wingdings" w:hint="default"/>
      </w:rPr>
    </w:lvl>
    <w:lvl w:ilvl="1" w:tplc="3F2ABED4" w:tentative="1">
      <w:start w:val="1"/>
      <w:numFmt w:val="bullet"/>
      <w:lvlText w:val=""/>
      <w:lvlJc w:val="left"/>
      <w:pPr>
        <w:tabs>
          <w:tab w:val="num" w:pos="1440"/>
        </w:tabs>
        <w:ind w:left="1440" w:hanging="360"/>
      </w:pPr>
      <w:rPr>
        <w:rFonts w:ascii="Wingdings" w:hAnsi="Wingdings" w:hint="default"/>
      </w:rPr>
    </w:lvl>
    <w:lvl w:ilvl="2" w:tplc="7CD6C176" w:tentative="1">
      <w:start w:val="1"/>
      <w:numFmt w:val="bullet"/>
      <w:lvlText w:val=""/>
      <w:lvlJc w:val="left"/>
      <w:pPr>
        <w:tabs>
          <w:tab w:val="num" w:pos="2160"/>
        </w:tabs>
        <w:ind w:left="2160" w:hanging="360"/>
      </w:pPr>
      <w:rPr>
        <w:rFonts w:ascii="Wingdings" w:hAnsi="Wingdings" w:hint="default"/>
      </w:rPr>
    </w:lvl>
    <w:lvl w:ilvl="3" w:tplc="51604060" w:tentative="1">
      <w:start w:val="1"/>
      <w:numFmt w:val="bullet"/>
      <w:lvlText w:val=""/>
      <w:lvlJc w:val="left"/>
      <w:pPr>
        <w:tabs>
          <w:tab w:val="num" w:pos="2880"/>
        </w:tabs>
        <w:ind w:left="2880" w:hanging="360"/>
      </w:pPr>
      <w:rPr>
        <w:rFonts w:ascii="Wingdings" w:hAnsi="Wingdings" w:hint="default"/>
      </w:rPr>
    </w:lvl>
    <w:lvl w:ilvl="4" w:tplc="1506E928" w:tentative="1">
      <w:start w:val="1"/>
      <w:numFmt w:val="bullet"/>
      <w:lvlText w:val=""/>
      <w:lvlJc w:val="left"/>
      <w:pPr>
        <w:tabs>
          <w:tab w:val="num" w:pos="3600"/>
        </w:tabs>
        <w:ind w:left="3600" w:hanging="360"/>
      </w:pPr>
      <w:rPr>
        <w:rFonts w:ascii="Wingdings" w:hAnsi="Wingdings" w:hint="default"/>
      </w:rPr>
    </w:lvl>
    <w:lvl w:ilvl="5" w:tplc="69880DE8" w:tentative="1">
      <w:start w:val="1"/>
      <w:numFmt w:val="bullet"/>
      <w:lvlText w:val=""/>
      <w:lvlJc w:val="left"/>
      <w:pPr>
        <w:tabs>
          <w:tab w:val="num" w:pos="4320"/>
        </w:tabs>
        <w:ind w:left="4320" w:hanging="360"/>
      </w:pPr>
      <w:rPr>
        <w:rFonts w:ascii="Wingdings" w:hAnsi="Wingdings" w:hint="default"/>
      </w:rPr>
    </w:lvl>
    <w:lvl w:ilvl="6" w:tplc="E71A90F2" w:tentative="1">
      <w:start w:val="1"/>
      <w:numFmt w:val="bullet"/>
      <w:lvlText w:val=""/>
      <w:lvlJc w:val="left"/>
      <w:pPr>
        <w:tabs>
          <w:tab w:val="num" w:pos="5040"/>
        </w:tabs>
        <w:ind w:left="5040" w:hanging="360"/>
      </w:pPr>
      <w:rPr>
        <w:rFonts w:ascii="Wingdings" w:hAnsi="Wingdings" w:hint="default"/>
      </w:rPr>
    </w:lvl>
    <w:lvl w:ilvl="7" w:tplc="3FCE547C" w:tentative="1">
      <w:start w:val="1"/>
      <w:numFmt w:val="bullet"/>
      <w:lvlText w:val=""/>
      <w:lvlJc w:val="left"/>
      <w:pPr>
        <w:tabs>
          <w:tab w:val="num" w:pos="5760"/>
        </w:tabs>
        <w:ind w:left="5760" w:hanging="360"/>
      </w:pPr>
      <w:rPr>
        <w:rFonts w:ascii="Wingdings" w:hAnsi="Wingdings" w:hint="default"/>
      </w:rPr>
    </w:lvl>
    <w:lvl w:ilvl="8" w:tplc="71A2DC26" w:tentative="1">
      <w:start w:val="1"/>
      <w:numFmt w:val="bullet"/>
      <w:lvlText w:val=""/>
      <w:lvlJc w:val="left"/>
      <w:pPr>
        <w:tabs>
          <w:tab w:val="num" w:pos="6480"/>
        </w:tabs>
        <w:ind w:left="6480" w:hanging="360"/>
      </w:pPr>
      <w:rPr>
        <w:rFonts w:ascii="Wingdings" w:hAnsi="Wingdings" w:hint="default"/>
      </w:rPr>
    </w:lvl>
  </w:abstractNum>
  <w:abstractNum w:abstractNumId="27">
    <w:nsid w:val="7E2F27BA"/>
    <w:multiLevelType w:val="hybridMultilevel"/>
    <w:tmpl w:val="673AB1D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15"/>
  </w:num>
  <w:num w:numId="4">
    <w:abstractNumId w:val="3"/>
  </w:num>
  <w:num w:numId="5">
    <w:abstractNumId w:val="25"/>
  </w:num>
  <w:num w:numId="6">
    <w:abstractNumId w:val="2"/>
  </w:num>
  <w:num w:numId="7">
    <w:abstractNumId w:val="27"/>
  </w:num>
  <w:num w:numId="8">
    <w:abstractNumId w:val="12"/>
  </w:num>
  <w:num w:numId="9">
    <w:abstractNumId w:val="21"/>
  </w:num>
  <w:num w:numId="10">
    <w:abstractNumId w:val="26"/>
  </w:num>
  <w:num w:numId="11">
    <w:abstractNumId w:val="24"/>
  </w:num>
  <w:num w:numId="12">
    <w:abstractNumId w:val="14"/>
  </w:num>
  <w:num w:numId="13">
    <w:abstractNumId w:val="19"/>
  </w:num>
  <w:num w:numId="14">
    <w:abstractNumId w:val="9"/>
  </w:num>
  <w:num w:numId="15">
    <w:abstractNumId w:val="6"/>
  </w:num>
  <w:num w:numId="16">
    <w:abstractNumId w:val="5"/>
  </w:num>
  <w:num w:numId="17">
    <w:abstractNumId w:val="0"/>
  </w:num>
  <w:num w:numId="18">
    <w:abstractNumId w:val="10"/>
  </w:num>
  <w:num w:numId="19">
    <w:abstractNumId w:val="22"/>
  </w:num>
  <w:num w:numId="20">
    <w:abstractNumId w:val="17"/>
  </w:num>
  <w:num w:numId="21">
    <w:abstractNumId w:val="11"/>
  </w:num>
  <w:num w:numId="22">
    <w:abstractNumId w:val="1"/>
  </w:num>
  <w:num w:numId="23">
    <w:abstractNumId w:val="7"/>
  </w:num>
  <w:num w:numId="24">
    <w:abstractNumId w:val="13"/>
  </w:num>
  <w:num w:numId="25">
    <w:abstractNumId w:val="8"/>
  </w:num>
  <w:num w:numId="26">
    <w:abstractNumId w:val="18"/>
  </w:num>
  <w:num w:numId="27">
    <w:abstractNumId w:val="23"/>
  </w:num>
  <w:num w:numId="28">
    <w:abstractNumId w:val="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81743F"/>
    <w:rsid w:val="00000408"/>
    <w:rsid w:val="00000417"/>
    <w:rsid w:val="0000142B"/>
    <w:rsid w:val="00002446"/>
    <w:rsid w:val="00003BE9"/>
    <w:rsid w:val="00004184"/>
    <w:rsid w:val="00005C3F"/>
    <w:rsid w:val="00006460"/>
    <w:rsid w:val="000120B2"/>
    <w:rsid w:val="00012E7D"/>
    <w:rsid w:val="00017DCD"/>
    <w:rsid w:val="000204D5"/>
    <w:rsid w:val="00021352"/>
    <w:rsid w:val="000217AC"/>
    <w:rsid w:val="00022DF7"/>
    <w:rsid w:val="000240F4"/>
    <w:rsid w:val="00026BAE"/>
    <w:rsid w:val="000354AC"/>
    <w:rsid w:val="00040A8C"/>
    <w:rsid w:val="00043963"/>
    <w:rsid w:val="0004408B"/>
    <w:rsid w:val="00045173"/>
    <w:rsid w:val="0005420C"/>
    <w:rsid w:val="00055B28"/>
    <w:rsid w:val="00060126"/>
    <w:rsid w:val="00060605"/>
    <w:rsid w:val="000617FF"/>
    <w:rsid w:val="00064AD1"/>
    <w:rsid w:val="00064E7D"/>
    <w:rsid w:val="00065ED3"/>
    <w:rsid w:val="00066F93"/>
    <w:rsid w:val="0007372E"/>
    <w:rsid w:val="000808FA"/>
    <w:rsid w:val="00083765"/>
    <w:rsid w:val="00083DDC"/>
    <w:rsid w:val="00084BDA"/>
    <w:rsid w:val="000872A3"/>
    <w:rsid w:val="00093C01"/>
    <w:rsid w:val="000A09E4"/>
    <w:rsid w:val="000A6533"/>
    <w:rsid w:val="000B1985"/>
    <w:rsid w:val="000B1EB2"/>
    <w:rsid w:val="000B2EFA"/>
    <w:rsid w:val="000B4854"/>
    <w:rsid w:val="000B55D9"/>
    <w:rsid w:val="000C2DB8"/>
    <w:rsid w:val="000C3B42"/>
    <w:rsid w:val="000C5B43"/>
    <w:rsid w:val="000C60F6"/>
    <w:rsid w:val="000C67DB"/>
    <w:rsid w:val="000C73AF"/>
    <w:rsid w:val="000D3A8E"/>
    <w:rsid w:val="000D43F0"/>
    <w:rsid w:val="000E35F2"/>
    <w:rsid w:val="000E3696"/>
    <w:rsid w:val="000E4DD1"/>
    <w:rsid w:val="000E55A0"/>
    <w:rsid w:val="000F2131"/>
    <w:rsid w:val="000F51A6"/>
    <w:rsid w:val="00100E4C"/>
    <w:rsid w:val="00102066"/>
    <w:rsid w:val="001024BE"/>
    <w:rsid w:val="00104ADD"/>
    <w:rsid w:val="001129BF"/>
    <w:rsid w:val="00114D75"/>
    <w:rsid w:val="001154E0"/>
    <w:rsid w:val="00116D49"/>
    <w:rsid w:val="001176AF"/>
    <w:rsid w:val="00120753"/>
    <w:rsid w:val="00120FB2"/>
    <w:rsid w:val="0012135F"/>
    <w:rsid w:val="00122D37"/>
    <w:rsid w:val="00123116"/>
    <w:rsid w:val="00131B3C"/>
    <w:rsid w:val="001324B2"/>
    <w:rsid w:val="00137C2F"/>
    <w:rsid w:val="00137C83"/>
    <w:rsid w:val="0014043C"/>
    <w:rsid w:val="00141679"/>
    <w:rsid w:val="00141B7E"/>
    <w:rsid w:val="00144F7B"/>
    <w:rsid w:val="00146B63"/>
    <w:rsid w:val="00150059"/>
    <w:rsid w:val="001516CA"/>
    <w:rsid w:val="00153E58"/>
    <w:rsid w:val="0015422F"/>
    <w:rsid w:val="00157DDB"/>
    <w:rsid w:val="001626EB"/>
    <w:rsid w:val="00163BAC"/>
    <w:rsid w:val="00164EB4"/>
    <w:rsid w:val="00164F88"/>
    <w:rsid w:val="001652A8"/>
    <w:rsid w:val="00165CBA"/>
    <w:rsid w:val="00165E87"/>
    <w:rsid w:val="0016666A"/>
    <w:rsid w:val="00166A2C"/>
    <w:rsid w:val="001716F5"/>
    <w:rsid w:val="00171948"/>
    <w:rsid w:val="0017431D"/>
    <w:rsid w:val="00176C20"/>
    <w:rsid w:val="0017793C"/>
    <w:rsid w:val="00180A76"/>
    <w:rsid w:val="00180C4D"/>
    <w:rsid w:val="001815DF"/>
    <w:rsid w:val="00184A2F"/>
    <w:rsid w:val="00190BA8"/>
    <w:rsid w:val="0019117B"/>
    <w:rsid w:val="00191E46"/>
    <w:rsid w:val="001A20D5"/>
    <w:rsid w:val="001A27FD"/>
    <w:rsid w:val="001A5AC1"/>
    <w:rsid w:val="001A635F"/>
    <w:rsid w:val="001A67A7"/>
    <w:rsid w:val="001A6943"/>
    <w:rsid w:val="001A6A7E"/>
    <w:rsid w:val="001A6B98"/>
    <w:rsid w:val="001B1A1B"/>
    <w:rsid w:val="001B4D57"/>
    <w:rsid w:val="001B7626"/>
    <w:rsid w:val="001C0C34"/>
    <w:rsid w:val="001C0C5A"/>
    <w:rsid w:val="001C177E"/>
    <w:rsid w:val="001C6F98"/>
    <w:rsid w:val="001C7FCC"/>
    <w:rsid w:val="001D4CBE"/>
    <w:rsid w:val="001D6E36"/>
    <w:rsid w:val="001E1DB0"/>
    <w:rsid w:val="001E5CF8"/>
    <w:rsid w:val="001E798B"/>
    <w:rsid w:val="001F2557"/>
    <w:rsid w:val="00200138"/>
    <w:rsid w:val="002021F5"/>
    <w:rsid w:val="00202825"/>
    <w:rsid w:val="00220666"/>
    <w:rsid w:val="00221E4C"/>
    <w:rsid w:val="002231C8"/>
    <w:rsid w:val="00232B41"/>
    <w:rsid w:val="00237E45"/>
    <w:rsid w:val="00240618"/>
    <w:rsid w:val="00243425"/>
    <w:rsid w:val="00243557"/>
    <w:rsid w:val="00244D5F"/>
    <w:rsid w:val="002450A7"/>
    <w:rsid w:val="00247007"/>
    <w:rsid w:val="002471C2"/>
    <w:rsid w:val="002477E3"/>
    <w:rsid w:val="00247A09"/>
    <w:rsid w:val="00250E58"/>
    <w:rsid w:val="0025660E"/>
    <w:rsid w:val="0026073F"/>
    <w:rsid w:val="002625BA"/>
    <w:rsid w:val="00264055"/>
    <w:rsid w:val="00265038"/>
    <w:rsid w:val="002660B6"/>
    <w:rsid w:val="00270B71"/>
    <w:rsid w:val="002710E3"/>
    <w:rsid w:val="00271C32"/>
    <w:rsid w:val="00273862"/>
    <w:rsid w:val="0027450A"/>
    <w:rsid w:val="002778D7"/>
    <w:rsid w:val="002817E8"/>
    <w:rsid w:val="0028201C"/>
    <w:rsid w:val="00283A55"/>
    <w:rsid w:val="00285469"/>
    <w:rsid w:val="00291C6A"/>
    <w:rsid w:val="00293D41"/>
    <w:rsid w:val="00294FC7"/>
    <w:rsid w:val="00295164"/>
    <w:rsid w:val="00297DAB"/>
    <w:rsid w:val="002A2FAB"/>
    <w:rsid w:val="002A3BCE"/>
    <w:rsid w:val="002A48AC"/>
    <w:rsid w:val="002A5975"/>
    <w:rsid w:val="002A5B54"/>
    <w:rsid w:val="002A711F"/>
    <w:rsid w:val="002B3B57"/>
    <w:rsid w:val="002B4A09"/>
    <w:rsid w:val="002B5F00"/>
    <w:rsid w:val="002B748F"/>
    <w:rsid w:val="002B7DC3"/>
    <w:rsid w:val="002B7E48"/>
    <w:rsid w:val="002C19B4"/>
    <w:rsid w:val="002C3EBE"/>
    <w:rsid w:val="002C58E7"/>
    <w:rsid w:val="002C6EDE"/>
    <w:rsid w:val="002D1169"/>
    <w:rsid w:val="002D578E"/>
    <w:rsid w:val="002D60CD"/>
    <w:rsid w:val="002D6494"/>
    <w:rsid w:val="002D738D"/>
    <w:rsid w:val="002E0CD7"/>
    <w:rsid w:val="002E377E"/>
    <w:rsid w:val="002E47DB"/>
    <w:rsid w:val="002E5BC9"/>
    <w:rsid w:val="002E7DEA"/>
    <w:rsid w:val="002F2FF3"/>
    <w:rsid w:val="002F306B"/>
    <w:rsid w:val="002F3D83"/>
    <w:rsid w:val="003008B1"/>
    <w:rsid w:val="00301849"/>
    <w:rsid w:val="00301DAF"/>
    <w:rsid w:val="00302162"/>
    <w:rsid w:val="0030274F"/>
    <w:rsid w:val="00305C23"/>
    <w:rsid w:val="00307005"/>
    <w:rsid w:val="00310120"/>
    <w:rsid w:val="00310672"/>
    <w:rsid w:val="00311375"/>
    <w:rsid w:val="0031418E"/>
    <w:rsid w:val="00315FF3"/>
    <w:rsid w:val="003206CB"/>
    <w:rsid w:val="00321681"/>
    <w:rsid w:val="003218CA"/>
    <w:rsid w:val="0032228E"/>
    <w:rsid w:val="00326D45"/>
    <w:rsid w:val="00334320"/>
    <w:rsid w:val="0033461B"/>
    <w:rsid w:val="00335DA8"/>
    <w:rsid w:val="00336677"/>
    <w:rsid w:val="00340424"/>
    <w:rsid w:val="00340CE6"/>
    <w:rsid w:val="00341918"/>
    <w:rsid w:val="0034410B"/>
    <w:rsid w:val="003460FA"/>
    <w:rsid w:val="003471A8"/>
    <w:rsid w:val="00353635"/>
    <w:rsid w:val="00356B92"/>
    <w:rsid w:val="00361AEA"/>
    <w:rsid w:val="00361F55"/>
    <w:rsid w:val="00362608"/>
    <w:rsid w:val="00362EBC"/>
    <w:rsid w:val="00364D17"/>
    <w:rsid w:val="0036675D"/>
    <w:rsid w:val="00367F59"/>
    <w:rsid w:val="00371D80"/>
    <w:rsid w:val="00372E2C"/>
    <w:rsid w:val="00372E74"/>
    <w:rsid w:val="00373639"/>
    <w:rsid w:val="0037375F"/>
    <w:rsid w:val="00375BC1"/>
    <w:rsid w:val="003765EE"/>
    <w:rsid w:val="00377784"/>
    <w:rsid w:val="003817A9"/>
    <w:rsid w:val="003830A9"/>
    <w:rsid w:val="003832EF"/>
    <w:rsid w:val="00383AF8"/>
    <w:rsid w:val="00384D1B"/>
    <w:rsid w:val="00387DB0"/>
    <w:rsid w:val="00392448"/>
    <w:rsid w:val="0039522B"/>
    <w:rsid w:val="003A4623"/>
    <w:rsid w:val="003A6DA6"/>
    <w:rsid w:val="003B2936"/>
    <w:rsid w:val="003B41DD"/>
    <w:rsid w:val="003B6D55"/>
    <w:rsid w:val="003C03A3"/>
    <w:rsid w:val="003C1136"/>
    <w:rsid w:val="003C459F"/>
    <w:rsid w:val="003C5438"/>
    <w:rsid w:val="003C5616"/>
    <w:rsid w:val="003C5656"/>
    <w:rsid w:val="003C7BA2"/>
    <w:rsid w:val="003D162F"/>
    <w:rsid w:val="003D2014"/>
    <w:rsid w:val="003D229F"/>
    <w:rsid w:val="003D23AE"/>
    <w:rsid w:val="003D282A"/>
    <w:rsid w:val="003D3688"/>
    <w:rsid w:val="003D43E3"/>
    <w:rsid w:val="003D5C1B"/>
    <w:rsid w:val="003D69D4"/>
    <w:rsid w:val="003E0D08"/>
    <w:rsid w:val="003E497D"/>
    <w:rsid w:val="003E5645"/>
    <w:rsid w:val="003F2B6F"/>
    <w:rsid w:val="003F3D4C"/>
    <w:rsid w:val="003F5F38"/>
    <w:rsid w:val="003F72EB"/>
    <w:rsid w:val="003F75FE"/>
    <w:rsid w:val="004012C8"/>
    <w:rsid w:val="0040312D"/>
    <w:rsid w:val="00403AEC"/>
    <w:rsid w:val="00416CBC"/>
    <w:rsid w:val="004242E8"/>
    <w:rsid w:val="00425BC8"/>
    <w:rsid w:val="00431007"/>
    <w:rsid w:val="004311F9"/>
    <w:rsid w:val="00432C59"/>
    <w:rsid w:val="00435432"/>
    <w:rsid w:val="00440409"/>
    <w:rsid w:val="00440A97"/>
    <w:rsid w:val="004447FD"/>
    <w:rsid w:val="004478C3"/>
    <w:rsid w:val="00447C6C"/>
    <w:rsid w:val="00452946"/>
    <w:rsid w:val="004543E5"/>
    <w:rsid w:val="00455D09"/>
    <w:rsid w:val="00456AC6"/>
    <w:rsid w:val="00457C6C"/>
    <w:rsid w:val="004607E3"/>
    <w:rsid w:val="004617D5"/>
    <w:rsid w:val="00463FC2"/>
    <w:rsid w:val="004650BA"/>
    <w:rsid w:val="004654AC"/>
    <w:rsid w:val="004676E6"/>
    <w:rsid w:val="0047053F"/>
    <w:rsid w:val="00472874"/>
    <w:rsid w:val="004748F6"/>
    <w:rsid w:val="00475469"/>
    <w:rsid w:val="00475CD7"/>
    <w:rsid w:val="00476C89"/>
    <w:rsid w:val="00481372"/>
    <w:rsid w:val="00482E92"/>
    <w:rsid w:val="00484740"/>
    <w:rsid w:val="00484AE0"/>
    <w:rsid w:val="00485098"/>
    <w:rsid w:val="00487396"/>
    <w:rsid w:val="0049142D"/>
    <w:rsid w:val="00492DDA"/>
    <w:rsid w:val="004A2CF2"/>
    <w:rsid w:val="004A3A33"/>
    <w:rsid w:val="004A4985"/>
    <w:rsid w:val="004A5358"/>
    <w:rsid w:val="004A5D1B"/>
    <w:rsid w:val="004A6C3C"/>
    <w:rsid w:val="004A7B9F"/>
    <w:rsid w:val="004B04B4"/>
    <w:rsid w:val="004B30A4"/>
    <w:rsid w:val="004B3C3C"/>
    <w:rsid w:val="004B5ED4"/>
    <w:rsid w:val="004B6004"/>
    <w:rsid w:val="004C2415"/>
    <w:rsid w:val="004C2759"/>
    <w:rsid w:val="004C2BC0"/>
    <w:rsid w:val="004C33E9"/>
    <w:rsid w:val="004C362B"/>
    <w:rsid w:val="004C689F"/>
    <w:rsid w:val="004C79D3"/>
    <w:rsid w:val="004D16F8"/>
    <w:rsid w:val="004D3DD1"/>
    <w:rsid w:val="004D7CDE"/>
    <w:rsid w:val="004D7D08"/>
    <w:rsid w:val="004E448E"/>
    <w:rsid w:val="004F234C"/>
    <w:rsid w:val="004F2915"/>
    <w:rsid w:val="00501B18"/>
    <w:rsid w:val="00503310"/>
    <w:rsid w:val="00503C4E"/>
    <w:rsid w:val="00505FE7"/>
    <w:rsid w:val="00510C23"/>
    <w:rsid w:val="005115EF"/>
    <w:rsid w:val="005126BC"/>
    <w:rsid w:val="00515509"/>
    <w:rsid w:val="00516134"/>
    <w:rsid w:val="00521A1E"/>
    <w:rsid w:val="005225EA"/>
    <w:rsid w:val="0052615F"/>
    <w:rsid w:val="00527045"/>
    <w:rsid w:val="00527330"/>
    <w:rsid w:val="005274CE"/>
    <w:rsid w:val="005319F2"/>
    <w:rsid w:val="005342AA"/>
    <w:rsid w:val="00536E2F"/>
    <w:rsid w:val="00537926"/>
    <w:rsid w:val="0054088A"/>
    <w:rsid w:val="00540A75"/>
    <w:rsid w:val="005473CA"/>
    <w:rsid w:val="005533EC"/>
    <w:rsid w:val="00553D0C"/>
    <w:rsid w:val="00565E9E"/>
    <w:rsid w:val="00566E74"/>
    <w:rsid w:val="005701B7"/>
    <w:rsid w:val="00570AC2"/>
    <w:rsid w:val="00573B1E"/>
    <w:rsid w:val="00573CE7"/>
    <w:rsid w:val="00574AAA"/>
    <w:rsid w:val="00580A6D"/>
    <w:rsid w:val="00581275"/>
    <w:rsid w:val="005812BB"/>
    <w:rsid w:val="00581992"/>
    <w:rsid w:val="00583DA8"/>
    <w:rsid w:val="005855BA"/>
    <w:rsid w:val="00587B47"/>
    <w:rsid w:val="00587C19"/>
    <w:rsid w:val="0059055B"/>
    <w:rsid w:val="00590EC0"/>
    <w:rsid w:val="0059376D"/>
    <w:rsid w:val="00595B6F"/>
    <w:rsid w:val="005961CA"/>
    <w:rsid w:val="005A0D94"/>
    <w:rsid w:val="005A2E3F"/>
    <w:rsid w:val="005A422A"/>
    <w:rsid w:val="005A606A"/>
    <w:rsid w:val="005A7302"/>
    <w:rsid w:val="005A76C9"/>
    <w:rsid w:val="005A7D7B"/>
    <w:rsid w:val="005B2B0C"/>
    <w:rsid w:val="005B402C"/>
    <w:rsid w:val="005B629C"/>
    <w:rsid w:val="005B7F03"/>
    <w:rsid w:val="005C0925"/>
    <w:rsid w:val="005C3A97"/>
    <w:rsid w:val="005C3DD7"/>
    <w:rsid w:val="005D3651"/>
    <w:rsid w:val="005D4D19"/>
    <w:rsid w:val="005D5057"/>
    <w:rsid w:val="005E1B23"/>
    <w:rsid w:val="005E23F0"/>
    <w:rsid w:val="005E279C"/>
    <w:rsid w:val="005E3017"/>
    <w:rsid w:val="005E4165"/>
    <w:rsid w:val="005E4949"/>
    <w:rsid w:val="005E54CE"/>
    <w:rsid w:val="005E5B6A"/>
    <w:rsid w:val="005E5C8B"/>
    <w:rsid w:val="005E5FC6"/>
    <w:rsid w:val="005F236E"/>
    <w:rsid w:val="006003A3"/>
    <w:rsid w:val="00601737"/>
    <w:rsid w:val="00601AEC"/>
    <w:rsid w:val="006023AA"/>
    <w:rsid w:val="006102E7"/>
    <w:rsid w:val="0061477B"/>
    <w:rsid w:val="006162B6"/>
    <w:rsid w:val="00616831"/>
    <w:rsid w:val="006201C5"/>
    <w:rsid w:val="0062110F"/>
    <w:rsid w:val="0062358C"/>
    <w:rsid w:val="00624A74"/>
    <w:rsid w:val="006251EB"/>
    <w:rsid w:val="006263D1"/>
    <w:rsid w:val="00627324"/>
    <w:rsid w:val="0062751B"/>
    <w:rsid w:val="00630A58"/>
    <w:rsid w:val="00630C5F"/>
    <w:rsid w:val="00632E85"/>
    <w:rsid w:val="00633735"/>
    <w:rsid w:val="00633DB2"/>
    <w:rsid w:val="0063462D"/>
    <w:rsid w:val="006356B9"/>
    <w:rsid w:val="00635E47"/>
    <w:rsid w:val="006363EF"/>
    <w:rsid w:val="006415B8"/>
    <w:rsid w:val="00643E74"/>
    <w:rsid w:val="00644BEF"/>
    <w:rsid w:val="00644FCE"/>
    <w:rsid w:val="00646D5A"/>
    <w:rsid w:val="00651162"/>
    <w:rsid w:val="00656F8A"/>
    <w:rsid w:val="00660F3A"/>
    <w:rsid w:val="00661273"/>
    <w:rsid w:val="006623AC"/>
    <w:rsid w:val="00664BC8"/>
    <w:rsid w:val="006657B3"/>
    <w:rsid w:val="00665800"/>
    <w:rsid w:val="00676C08"/>
    <w:rsid w:val="0067727E"/>
    <w:rsid w:val="0068160D"/>
    <w:rsid w:val="006817EF"/>
    <w:rsid w:val="006825A7"/>
    <w:rsid w:val="00687D8F"/>
    <w:rsid w:val="00690D71"/>
    <w:rsid w:val="00692F54"/>
    <w:rsid w:val="00693D73"/>
    <w:rsid w:val="00694260"/>
    <w:rsid w:val="006958C5"/>
    <w:rsid w:val="00697184"/>
    <w:rsid w:val="006974B2"/>
    <w:rsid w:val="006A0370"/>
    <w:rsid w:val="006A0858"/>
    <w:rsid w:val="006A1D31"/>
    <w:rsid w:val="006A2EC5"/>
    <w:rsid w:val="006A3839"/>
    <w:rsid w:val="006A3B90"/>
    <w:rsid w:val="006A5AFE"/>
    <w:rsid w:val="006A5D2C"/>
    <w:rsid w:val="006B127E"/>
    <w:rsid w:val="006B4533"/>
    <w:rsid w:val="006B4706"/>
    <w:rsid w:val="006B49D8"/>
    <w:rsid w:val="006B5381"/>
    <w:rsid w:val="006B68D6"/>
    <w:rsid w:val="006B6D5A"/>
    <w:rsid w:val="006B6F10"/>
    <w:rsid w:val="006B763A"/>
    <w:rsid w:val="006C14E1"/>
    <w:rsid w:val="006C7879"/>
    <w:rsid w:val="006C7CF2"/>
    <w:rsid w:val="006D44D3"/>
    <w:rsid w:val="006D49B2"/>
    <w:rsid w:val="006D6394"/>
    <w:rsid w:val="006D7C7F"/>
    <w:rsid w:val="006E36D6"/>
    <w:rsid w:val="006E58F6"/>
    <w:rsid w:val="006F1B40"/>
    <w:rsid w:val="006F5928"/>
    <w:rsid w:val="006F5D70"/>
    <w:rsid w:val="006F761C"/>
    <w:rsid w:val="006F7B2B"/>
    <w:rsid w:val="007006F5"/>
    <w:rsid w:val="007009EF"/>
    <w:rsid w:val="007017AA"/>
    <w:rsid w:val="00701923"/>
    <w:rsid w:val="00702690"/>
    <w:rsid w:val="00704584"/>
    <w:rsid w:val="00704D41"/>
    <w:rsid w:val="007051F9"/>
    <w:rsid w:val="00712C5A"/>
    <w:rsid w:val="00714D7F"/>
    <w:rsid w:val="0071577F"/>
    <w:rsid w:val="00716C74"/>
    <w:rsid w:val="00721016"/>
    <w:rsid w:val="00722925"/>
    <w:rsid w:val="00724698"/>
    <w:rsid w:val="00724F3A"/>
    <w:rsid w:val="00725FDE"/>
    <w:rsid w:val="0073244B"/>
    <w:rsid w:val="007327C8"/>
    <w:rsid w:val="007336E6"/>
    <w:rsid w:val="00734FBC"/>
    <w:rsid w:val="007423D5"/>
    <w:rsid w:val="007428C7"/>
    <w:rsid w:val="00743657"/>
    <w:rsid w:val="007440F7"/>
    <w:rsid w:val="00745AAA"/>
    <w:rsid w:val="007463F7"/>
    <w:rsid w:val="00750116"/>
    <w:rsid w:val="00753392"/>
    <w:rsid w:val="00756BFB"/>
    <w:rsid w:val="007609FB"/>
    <w:rsid w:val="0076354E"/>
    <w:rsid w:val="00764D37"/>
    <w:rsid w:val="0076636A"/>
    <w:rsid w:val="00766CE3"/>
    <w:rsid w:val="007715B2"/>
    <w:rsid w:val="0077679F"/>
    <w:rsid w:val="00777C1E"/>
    <w:rsid w:val="00777ED3"/>
    <w:rsid w:val="007834CB"/>
    <w:rsid w:val="00785ADA"/>
    <w:rsid w:val="00791B9B"/>
    <w:rsid w:val="007943AE"/>
    <w:rsid w:val="00796A0B"/>
    <w:rsid w:val="007A23AF"/>
    <w:rsid w:val="007A2DC9"/>
    <w:rsid w:val="007A35BB"/>
    <w:rsid w:val="007B07C2"/>
    <w:rsid w:val="007B4219"/>
    <w:rsid w:val="007B5A30"/>
    <w:rsid w:val="007B67D6"/>
    <w:rsid w:val="007B6B61"/>
    <w:rsid w:val="007C17BF"/>
    <w:rsid w:val="007C1E89"/>
    <w:rsid w:val="007C1EB3"/>
    <w:rsid w:val="007C3F2D"/>
    <w:rsid w:val="007C5AD3"/>
    <w:rsid w:val="007C5BEA"/>
    <w:rsid w:val="007C64A0"/>
    <w:rsid w:val="007C7F02"/>
    <w:rsid w:val="007D0159"/>
    <w:rsid w:val="007D258F"/>
    <w:rsid w:val="007D3F3D"/>
    <w:rsid w:val="007D47F3"/>
    <w:rsid w:val="007D7C37"/>
    <w:rsid w:val="007E199A"/>
    <w:rsid w:val="007E3923"/>
    <w:rsid w:val="007E46D2"/>
    <w:rsid w:val="007F08A8"/>
    <w:rsid w:val="007F2509"/>
    <w:rsid w:val="007F6309"/>
    <w:rsid w:val="007F7CC2"/>
    <w:rsid w:val="0080048E"/>
    <w:rsid w:val="00800ACF"/>
    <w:rsid w:val="008022E7"/>
    <w:rsid w:val="00803C3C"/>
    <w:rsid w:val="00803E83"/>
    <w:rsid w:val="00804E75"/>
    <w:rsid w:val="00806F94"/>
    <w:rsid w:val="00807733"/>
    <w:rsid w:val="00810263"/>
    <w:rsid w:val="00811129"/>
    <w:rsid w:val="00811EC3"/>
    <w:rsid w:val="008124F0"/>
    <w:rsid w:val="00815ED1"/>
    <w:rsid w:val="0081743F"/>
    <w:rsid w:val="008175AD"/>
    <w:rsid w:val="00820951"/>
    <w:rsid w:val="00825603"/>
    <w:rsid w:val="0082660F"/>
    <w:rsid w:val="0082748D"/>
    <w:rsid w:val="008300BD"/>
    <w:rsid w:val="0083361F"/>
    <w:rsid w:val="00833E99"/>
    <w:rsid w:val="00833E9A"/>
    <w:rsid w:val="00834BAE"/>
    <w:rsid w:val="008351D7"/>
    <w:rsid w:val="00836331"/>
    <w:rsid w:val="0084250B"/>
    <w:rsid w:val="008427D6"/>
    <w:rsid w:val="00843AF5"/>
    <w:rsid w:val="00843FEF"/>
    <w:rsid w:val="008462BA"/>
    <w:rsid w:val="00852047"/>
    <w:rsid w:val="00860932"/>
    <w:rsid w:val="00860AE5"/>
    <w:rsid w:val="00861A7E"/>
    <w:rsid w:val="008637D3"/>
    <w:rsid w:val="0086395C"/>
    <w:rsid w:val="00870BAF"/>
    <w:rsid w:val="00871318"/>
    <w:rsid w:val="0087270B"/>
    <w:rsid w:val="00873EDD"/>
    <w:rsid w:val="0087644B"/>
    <w:rsid w:val="00876D70"/>
    <w:rsid w:val="00877AD2"/>
    <w:rsid w:val="00877EB9"/>
    <w:rsid w:val="00880743"/>
    <w:rsid w:val="00885967"/>
    <w:rsid w:val="00886BD5"/>
    <w:rsid w:val="00886DB0"/>
    <w:rsid w:val="008930BB"/>
    <w:rsid w:val="00893715"/>
    <w:rsid w:val="00893D92"/>
    <w:rsid w:val="0089455A"/>
    <w:rsid w:val="0089492D"/>
    <w:rsid w:val="00894A8D"/>
    <w:rsid w:val="008965A6"/>
    <w:rsid w:val="00896BB1"/>
    <w:rsid w:val="008A17B7"/>
    <w:rsid w:val="008A2477"/>
    <w:rsid w:val="008A34C2"/>
    <w:rsid w:val="008A7E6F"/>
    <w:rsid w:val="008B3184"/>
    <w:rsid w:val="008B3E0E"/>
    <w:rsid w:val="008B4100"/>
    <w:rsid w:val="008B473B"/>
    <w:rsid w:val="008B511C"/>
    <w:rsid w:val="008B5DBC"/>
    <w:rsid w:val="008C07A3"/>
    <w:rsid w:val="008C0C0F"/>
    <w:rsid w:val="008C2975"/>
    <w:rsid w:val="008C4993"/>
    <w:rsid w:val="008D3BC0"/>
    <w:rsid w:val="008D5287"/>
    <w:rsid w:val="008D6FF2"/>
    <w:rsid w:val="008E1317"/>
    <w:rsid w:val="008E2DBA"/>
    <w:rsid w:val="008E2F2E"/>
    <w:rsid w:val="008E4F4F"/>
    <w:rsid w:val="008F254D"/>
    <w:rsid w:val="008F5904"/>
    <w:rsid w:val="008F690E"/>
    <w:rsid w:val="008F6B18"/>
    <w:rsid w:val="008F7BC7"/>
    <w:rsid w:val="00900E95"/>
    <w:rsid w:val="00900F02"/>
    <w:rsid w:val="00900F97"/>
    <w:rsid w:val="009031D9"/>
    <w:rsid w:val="0090411C"/>
    <w:rsid w:val="0090592A"/>
    <w:rsid w:val="009104E1"/>
    <w:rsid w:val="00911308"/>
    <w:rsid w:val="00912252"/>
    <w:rsid w:val="00914558"/>
    <w:rsid w:val="009168E5"/>
    <w:rsid w:val="0092120E"/>
    <w:rsid w:val="009216C0"/>
    <w:rsid w:val="00921E55"/>
    <w:rsid w:val="009354F5"/>
    <w:rsid w:val="00936B8D"/>
    <w:rsid w:val="00937743"/>
    <w:rsid w:val="00944DEE"/>
    <w:rsid w:val="0095464C"/>
    <w:rsid w:val="00954B11"/>
    <w:rsid w:val="0095520D"/>
    <w:rsid w:val="00960AF9"/>
    <w:rsid w:val="00962261"/>
    <w:rsid w:val="00962493"/>
    <w:rsid w:val="00966035"/>
    <w:rsid w:val="009664F7"/>
    <w:rsid w:val="00972F6A"/>
    <w:rsid w:val="00974480"/>
    <w:rsid w:val="009807E0"/>
    <w:rsid w:val="00980B7F"/>
    <w:rsid w:val="00980D5F"/>
    <w:rsid w:val="00981DEA"/>
    <w:rsid w:val="00985881"/>
    <w:rsid w:val="00986DDC"/>
    <w:rsid w:val="00986F9A"/>
    <w:rsid w:val="00991F96"/>
    <w:rsid w:val="00997E82"/>
    <w:rsid w:val="009A535D"/>
    <w:rsid w:val="009A68F8"/>
    <w:rsid w:val="009B0EE1"/>
    <w:rsid w:val="009B0FD8"/>
    <w:rsid w:val="009B2746"/>
    <w:rsid w:val="009B2E00"/>
    <w:rsid w:val="009B3609"/>
    <w:rsid w:val="009B69C6"/>
    <w:rsid w:val="009B6D54"/>
    <w:rsid w:val="009C1C62"/>
    <w:rsid w:val="009C3DFA"/>
    <w:rsid w:val="009C60AB"/>
    <w:rsid w:val="009D281E"/>
    <w:rsid w:val="009D3A08"/>
    <w:rsid w:val="009D4D79"/>
    <w:rsid w:val="009D5F7A"/>
    <w:rsid w:val="009E0EE4"/>
    <w:rsid w:val="009E4608"/>
    <w:rsid w:val="009E4A69"/>
    <w:rsid w:val="009E50DC"/>
    <w:rsid w:val="009E6E2E"/>
    <w:rsid w:val="009F1DDF"/>
    <w:rsid w:val="009F25EF"/>
    <w:rsid w:val="00A0060D"/>
    <w:rsid w:val="00A02B27"/>
    <w:rsid w:val="00A04036"/>
    <w:rsid w:val="00A05FB7"/>
    <w:rsid w:val="00A0656D"/>
    <w:rsid w:val="00A06C31"/>
    <w:rsid w:val="00A0793C"/>
    <w:rsid w:val="00A101D1"/>
    <w:rsid w:val="00A111A0"/>
    <w:rsid w:val="00A11375"/>
    <w:rsid w:val="00A12918"/>
    <w:rsid w:val="00A13E7D"/>
    <w:rsid w:val="00A1435A"/>
    <w:rsid w:val="00A149CB"/>
    <w:rsid w:val="00A15904"/>
    <w:rsid w:val="00A15FCD"/>
    <w:rsid w:val="00A16E3C"/>
    <w:rsid w:val="00A17174"/>
    <w:rsid w:val="00A17BD2"/>
    <w:rsid w:val="00A209E6"/>
    <w:rsid w:val="00A21682"/>
    <w:rsid w:val="00A226FA"/>
    <w:rsid w:val="00A2293F"/>
    <w:rsid w:val="00A24474"/>
    <w:rsid w:val="00A26577"/>
    <w:rsid w:val="00A27136"/>
    <w:rsid w:val="00A31A38"/>
    <w:rsid w:val="00A32310"/>
    <w:rsid w:val="00A327A7"/>
    <w:rsid w:val="00A35C4C"/>
    <w:rsid w:val="00A3772E"/>
    <w:rsid w:val="00A413B4"/>
    <w:rsid w:val="00A43EBB"/>
    <w:rsid w:val="00A46689"/>
    <w:rsid w:val="00A46C60"/>
    <w:rsid w:val="00A50062"/>
    <w:rsid w:val="00A50565"/>
    <w:rsid w:val="00A50A3C"/>
    <w:rsid w:val="00A51077"/>
    <w:rsid w:val="00A53F66"/>
    <w:rsid w:val="00A56D66"/>
    <w:rsid w:val="00A62E30"/>
    <w:rsid w:val="00A65DCE"/>
    <w:rsid w:val="00A723AE"/>
    <w:rsid w:val="00A73C6A"/>
    <w:rsid w:val="00A74354"/>
    <w:rsid w:val="00A7598B"/>
    <w:rsid w:val="00A776A1"/>
    <w:rsid w:val="00A81310"/>
    <w:rsid w:val="00A9050C"/>
    <w:rsid w:val="00A91DD8"/>
    <w:rsid w:val="00A922F9"/>
    <w:rsid w:val="00A92565"/>
    <w:rsid w:val="00A928F3"/>
    <w:rsid w:val="00A9584D"/>
    <w:rsid w:val="00A95D18"/>
    <w:rsid w:val="00A96C03"/>
    <w:rsid w:val="00A97127"/>
    <w:rsid w:val="00A978EB"/>
    <w:rsid w:val="00A97A69"/>
    <w:rsid w:val="00AA1B72"/>
    <w:rsid w:val="00AA4014"/>
    <w:rsid w:val="00AA730D"/>
    <w:rsid w:val="00AB0132"/>
    <w:rsid w:val="00AB0D6F"/>
    <w:rsid w:val="00AC3A74"/>
    <w:rsid w:val="00AC3F59"/>
    <w:rsid w:val="00AD0962"/>
    <w:rsid w:val="00AD35C0"/>
    <w:rsid w:val="00AD4A60"/>
    <w:rsid w:val="00AD4DCE"/>
    <w:rsid w:val="00AE4BF6"/>
    <w:rsid w:val="00AE583D"/>
    <w:rsid w:val="00AE5955"/>
    <w:rsid w:val="00AE6146"/>
    <w:rsid w:val="00AE6414"/>
    <w:rsid w:val="00AE70A0"/>
    <w:rsid w:val="00AF1634"/>
    <w:rsid w:val="00AF29D3"/>
    <w:rsid w:val="00AF2A10"/>
    <w:rsid w:val="00AF3581"/>
    <w:rsid w:val="00AF59EE"/>
    <w:rsid w:val="00AF5A7E"/>
    <w:rsid w:val="00AF670E"/>
    <w:rsid w:val="00B021D4"/>
    <w:rsid w:val="00B022EA"/>
    <w:rsid w:val="00B02BDA"/>
    <w:rsid w:val="00B0349F"/>
    <w:rsid w:val="00B05B44"/>
    <w:rsid w:val="00B05B57"/>
    <w:rsid w:val="00B074DD"/>
    <w:rsid w:val="00B11BB9"/>
    <w:rsid w:val="00B13FF1"/>
    <w:rsid w:val="00B14B14"/>
    <w:rsid w:val="00B202F3"/>
    <w:rsid w:val="00B20D3E"/>
    <w:rsid w:val="00B22E7C"/>
    <w:rsid w:val="00B22FB9"/>
    <w:rsid w:val="00B235D7"/>
    <w:rsid w:val="00B25332"/>
    <w:rsid w:val="00B25F95"/>
    <w:rsid w:val="00B27938"/>
    <w:rsid w:val="00B31706"/>
    <w:rsid w:val="00B33FDF"/>
    <w:rsid w:val="00B37F21"/>
    <w:rsid w:val="00B406E6"/>
    <w:rsid w:val="00B41B83"/>
    <w:rsid w:val="00B42C88"/>
    <w:rsid w:val="00B43858"/>
    <w:rsid w:val="00B44A61"/>
    <w:rsid w:val="00B501D9"/>
    <w:rsid w:val="00B50BD8"/>
    <w:rsid w:val="00B549C8"/>
    <w:rsid w:val="00B56E56"/>
    <w:rsid w:val="00B57180"/>
    <w:rsid w:val="00B60289"/>
    <w:rsid w:val="00B638BE"/>
    <w:rsid w:val="00B64024"/>
    <w:rsid w:val="00B65861"/>
    <w:rsid w:val="00B66B38"/>
    <w:rsid w:val="00B71429"/>
    <w:rsid w:val="00B8053F"/>
    <w:rsid w:val="00B80619"/>
    <w:rsid w:val="00B806E0"/>
    <w:rsid w:val="00B810DA"/>
    <w:rsid w:val="00B8199B"/>
    <w:rsid w:val="00B84A5A"/>
    <w:rsid w:val="00B85FBF"/>
    <w:rsid w:val="00B93D95"/>
    <w:rsid w:val="00B9434D"/>
    <w:rsid w:val="00B943C6"/>
    <w:rsid w:val="00B9478E"/>
    <w:rsid w:val="00B95C8F"/>
    <w:rsid w:val="00B9639A"/>
    <w:rsid w:val="00BA1ACB"/>
    <w:rsid w:val="00BA1B15"/>
    <w:rsid w:val="00BA2CB1"/>
    <w:rsid w:val="00BA31EE"/>
    <w:rsid w:val="00BA4924"/>
    <w:rsid w:val="00BB05B1"/>
    <w:rsid w:val="00BB3B61"/>
    <w:rsid w:val="00BB62AF"/>
    <w:rsid w:val="00BB7DDE"/>
    <w:rsid w:val="00BC08D8"/>
    <w:rsid w:val="00BC1424"/>
    <w:rsid w:val="00BC168D"/>
    <w:rsid w:val="00BC507B"/>
    <w:rsid w:val="00BC54A5"/>
    <w:rsid w:val="00BC715D"/>
    <w:rsid w:val="00BD32F1"/>
    <w:rsid w:val="00BD392C"/>
    <w:rsid w:val="00BD3FFE"/>
    <w:rsid w:val="00BE257B"/>
    <w:rsid w:val="00BE2694"/>
    <w:rsid w:val="00BE292E"/>
    <w:rsid w:val="00BE3C4B"/>
    <w:rsid w:val="00BE3FC5"/>
    <w:rsid w:val="00BE5834"/>
    <w:rsid w:val="00BE7C6F"/>
    <w:rsid w:val="00BF3BDC"/>
    <w:rsid w:val="00C00EA2"/>
    <w:rsid w:val="00C01D3C"/>
    <w:rsid w:val="00C03641"/>
    <w:rsid w:val="00C04969"/>
    <w:rsid w:val="00C064B8"/>
    <w:rsid w:val="00C066E0"/>
    <w:rsid w:val="00C07FD2"/>
    <w:rsid w:val="00C108D9"/>
    <w:rsid w:val="00C136C0"/>
    <w:rsid w:val="00C14685"/>
    <w:rsid w:val="00C14A16"/>
    <w:rsid w:val="00C152B3"/>
    <w:rsid w:val="00C16F62"/>
    <w:rsid w:val="00C23620"/>
    <w:rsid w:val="00C24E5A"/>
    <w:rsid w:val="00C31CBB"/>
    <w:rsid w:val="00C411E1"/>
    <w:rsid w:val="00C44083"/>
    <w:rsid w:val="00C450DF"/>
    <w:rsid w:val="00C50A7F"/>
    <w:rsid w:val="00C54F1D"/>
    <w:rsid w:val="00C56451"/>
    <w:rsid w:val="00C567CD"/>
    <w:rsid w:val="00C60025"/>
    <w:rsid w:val="00C6234F"/>
    <w:rsid w:val="00C630D9"/>
    <w:rsid w:val="00C65D68"/>
    <w:rsid w:val="00C70C14"/>
    <w:rsid w:val="00C70E34"/>
    <w:rsid w:val="00C7496F"/>
    <w:rsid w:val="00C760A0"/>
    <w:rsid w:val="00C763D7"/>
    <w:rsid w:val="00C809C0"/>
    <w:rsid w:val="00C81FC5"/>
    <w:rsid w:val="00C82CD8"/>
    <w:rsid w:val="00C854C2"/>
    <w:rsid w:val="00C8560C"/>
    <w:rsid w:val="00C86F7A"/>
    <w:rsid w:val="00C94FB4"/>
    <w:rsid w:val="00C97019"/>
    <w:rsid w:val="00C97243"/>
    <w:rsid w:val="00CA0C0B"/>
    <w:rsid w:val="00CA21B2"/>
    <w:rsid w:val="00CA3E7C"/>
    <w:rsid w:val="00CA3F9C"/>
    <w:rsid w:val="00CA4AC1"/>
    <w:rsid w:val="00CA5627"/>
    <w:rsid w:val="00CA6DC8"/>
    <w:rsid w:val="00CA7828"/>
    <w:rsid w:val="00CB3007"/>
    <w:rsid w:val="00CB581A"/>
    <w:rsid w:val="00CB5D8D"/>
    <w:rsid w:val="00CC1C4B"/>
    <w:rsid w:val="00CC3E50"/>
    <w:rsid w:val="00CC5283"/>
    <w:rsid w:val="00CC749A"/>
    <w:rsid w:val="00CD1DB7"/>
    <w:rsid w:val="00CD2AC4"/>
    <w:rsid w:val="00CD39B8"/>
    <w:rsid w:val="00CD4A51"/>
    <w:rsid w:val="00CD6C8C"/>
    <w:rsid w:val="00CD7DEB"/>
    <w:rsid w:val="00CE730C"/>
    <w:rsid w:val="00CE7D3B"/>
    <w:rsid w:val="00CF02DE"/>
    <w:rsid w:val="00CF1A89"/>
    <w:rsid w:val="00CF1DC2"/>
    <w:rsid w:val="00CF3D14"/>
    <w:rsid w:val="00CF40BE"/>
    <w:rsid w:val="00CF5B15"/>
    <w:rsid w:val="00CF7D95"/>
    <w:rsid w:val="00D0029E"/>
    <w:rsid w:val="00D04773"/>
    <w:rsid w:val="00D0547E"/>
    <w:rsid w:val="00D05555"/>
    <w:rsid w:val="00D05E63"/>
    <w:rsid w:val="00D076BD"/>
    <w:rsid w:val="00D11262"/>
    <w:rsid w:val="00D1285D"/>
    <w:rsid w:val="00D146B1"/>
    <w:rsid w:val="00D156CE"/>
    <w:rsid w:val="00D167A8"/>
    <w:rsid w:val="00D16E96"/>
    <w:rsid w:val="00D17230"/>
    <w:rsid w:val="00D1792F"/>
    <w:rsid w:val="00D20C05"/>
    <w:rsid w:val="00D212DF"/>
    <w:rsid w:val="00D21786"/>
    <w:rsid w:val="00D230B5"/>
    <w:rsid w:val="00D246CC"/>
    <w:rsid w:val="00D24A57"/>
    <w:rsid w:val="00D26C05"/>
    <w:rsid w:val="00D31F27"/>
    <w:rsid w:val="00D329ED"/>
    <w:rsid w:val="00D34429"/>
    <w:rsid w:val="00D35DC2"/>
    <w:rsid w:val="00D3640A"/>
    <w:rsid w:val="00D40DD2"/>
    <w:rsid w:val="00D4196E"/>
    <w:rsid w:val="00D41B99"/>
    <w:rsid w:val="00D43124"/>
    <w:rsid w:val="00D46B63"/>
    <w:rsid w:val="00D50B79"/>
    <w:rsid w:val="00D51394"/>
    <w:rsid w:val="00D52244"/>
    <w:rsid w:val="00D52ACE"/>
    <w:rsid w:val="00D551A2"/>
    <w:rsid w:val="00D555FE"/>
    <w:rsid w:val="00D64F7D"/>
    <w:rsid w:val="00D6571E"/>
    <w:rsid w:val="00D67A2C"/>
    <w:rsid w:val="00D70C7D"/>
    <w:rsid w:val="00D7190B"/>
    <w:rsid w:val="00D724AC"/>
    <w:rsid w:val="00D80399"/>
    <w:rsid w:val="00D8063E"/>
    <w:rsid w:val="00D86194"/>
    <w:rsid w:val="00D92614"/>
    <w:rsid w:val="00D93755"/>
    <w:rsid w:val="00D93CD9"/>
    <w:rsid w:val="00DA2659"/>
    <w:rsid w:val="00DA2739"/>
    <w:rsid w:val="00DA72F8"/>
    <w:rsid w:val="00DA76FA"/>
    <w:rsid w:val="00DB0526"/>
    <w:rsid w:val="00DB17E1"/>
    <w:rsid w:val="00DB1BB8"/>
    <w:rsid w:val="00DB3BA8"/>
    <w:rsid w:val="00DB6D45"/>
    <w:rsid w:val="00DB6DBF"/>
    <w:rsid w:val="00DB74ED"/>
    <w:rsid w:val="00DC56C1"/>
    <w:rsid w:val="00DC612C"/>
    <w:rsid w:val="00DC617B"/>
    <w:rsid w:val="00DD0BE3"/>
    <w:rsid w:val="00DD17F6"/>
    <w:rsid w:val="00DD29F6"/>
    <w:rsid w:val="00DD3BDC"/>
    <w:rsid w:val="00DD4FF4"/>
    <w:rsid w:val="00DE5D53"/>
    <w:rsid w:val="00DE679E"/>
    <w:rsid w:val="00DE6C70"/>
    <w:rsid w:val="00DF0248"/>
    <w:rsid w:val="00DF3122"/>
    <w:rsid w:val="00DF3B65"/>
    <w:rsid w:val="00DF3EC6"/>
    <w:rsid w:val="00DF55CA"/>
    <w:rsid w:val="00DF5E62"/>
    <w:rsid w:val="00DF71DE"/>
    <w:rsid w:val="00E00DCD"/>
    <w:rsid w:val="00E025FC"/>
    <w:rsid w:val="00E103FF"/>
    <w:rsid w:val="00E1537C"/>
    <w:rsid w:val="00E2079D"/>
    <w:rsid w:val="00E20906"/>
    <w:rsid w:val="00E21B90"/>
    <w:rsid w:val="00E2317A"/>
    <w:rsid w:val="00E3203B"/>
    <w:rsid w:val="00E33399"/>
    <w:rsid w:val="00E33B1F"/>
    <w:rsid w:val="00E33BC3"/>
    <w:rsid w:val="00E35B9F"/>
    <w:rsid w:val="00E36016"/>
    <w:rsid w:val="00E417AB"/>
    <w:rsid w:val="00E42B54"/>
    <w:rsid w:val="00E55B20"/>
    <w:rsid w:val="00E56D98"/>
    <w:rsid w:val="00E60FC7"/>
    <w:rsid w:val="00E65695"/>
    <w:rsid w:val="00E67855"/>
    <w:rsid w:val="00E717C1"/>
    <w:rsid w:val="00E72131"/>
    <w:rsid w:val="00E723F8"/>
    <w:rsid w:val="00E747EF"/>
    <w:rsid w:val="00E7571D"/>
    <w:rsid w:val="00E766D7"/>
    <w:rsid w:val="00E80690"/>
    <w:rsid w:val="00E807C6"/>
    <w:rsid w:val="00E81B04"/>
    <w:rsid w:val="00E86322"/>
    <w:rsid w:val="00E87F16"/>
    <w:rsid w:val="00E9364B"/>
    <w:rsid w:val="00E94575"/>
    <w:rsid w:val="00E96765"/>
    <w:rsid w:val="00E97CEF"/>
    <w:rsid w:val="00EA0237"/>
    <w:rsid w:val="00EA1347"/>
    <w:rsid w:val="00EA61BF"/>
    <w:rsid w:val="00EA74F6"/>
    <w:rsid w:val="00EA7635"/>
    <w:rsid w:val="00EC1AF7"/>
    <w:rsid w:val="00EC30E3"/>
    <w:rsid w:val="00EC4D6D"/>
    <w:rsid w:val="00EC4FE1"/>
    <w:rsid w:val="00EC592B"/>
    <w:rsid w:val="00EC6A07"/>
    <w:rsid w:val="00EC7B16"/>
    <w:rsid w:val="00ED45A1"/>
    <w:rsid w:val="00ED52EF"/>
    <w:rsid w:val="00ED5D9D"/>
    <w:rsid w:val="00ED663A"/>
    <w:rsid w:val="00ED6C4E"/>
    <w:rsid w:val="00ED7899"/>
    <w:rsid w:val="00EE36D3"/>
    <w:rsid w:val="00EE4111"/>
    <w:rsid w:val="00EE458E"/>
    <w:rsid w:val="00EF1262"/>
    <w:rsid w:val="00EF3201"/>
    <w:rsid w:val="00EF4DB9"/>
    <w:rsid w:val="00EF62E3"/>
    <w:rsid w:val="00EF70CE"/>
    <w:rsid w:val="00EF77F9"/>
    <w:rsid w:val="00F00712"/>
    <w:rsid w:val="00F02281"/>
    <w:rsid w:val="00F04E67"/>
    <w:rsid w:val="00F0564F"/>
    <w:rsid w:val="00F06423"/>
    <w:rsid w:val="00F07764"/>
    <w:rsid w:val="00F07A9D"/>
    <w:rsid w:val="00F10714"/>
    <w:rsid w:val="00F13948"/>
    <w:rsid w:val="00F150A8"/>
    <w:rsid w:val="00F15EE9"/>
    <w:rsid w:val="00F20ADD"/>
    <w:rsid w:val="00F21492"/>
    <w:rsid w:val="00F221F5"/>
    <w:rsid w:val="00F22C69"/>
    <w:rsid w:val="00F25754"/>
    <w:rsid w:val="00F26574"/>
    <w:rsid w:val="00F27788"/>
    <w:rsid w:val="00F31C2F"/>
    <w:rsid w:val="00F3205B"/>
    <w:rsid w:val="00F340B0"/>
    <w:rsid w:val="00F3463C"/>
    <w:rsid w:val="00F3548A"/>
    <w:rsid w:val="00F35499"/>
    <w:rsid w:val="00F355E0"/>
    <w:rsid w:val="00F35925"/>
    <w:rsid w:val="00F375FB"/>
    <w:rsid w:val="00F42AD2"/>
    <w:rsid w:val="00F42C54"/>
    <w:rsid w:val="00F43DD7"/>
    <w:rsid w:val="00F448E4"/>
    <w:rsid w:val="00F45D57"/>
    <w:rsid w:val="00F45E57"/>
    <w:rsid w:val="00F46AF3"/>
    <w:rsid w:val="00F475D3"/>
    <w:rsid w:val="00F4791D"/>
    <w:rsid w:val="00F52FE7"/>
    <w:rsid w:val="00F53178"/>
    <w:rsid w:val="00F54F26"/>
    <w:rsid w:val="00F550DD"/>
    <w:rsid w:val="00F56242"/>
    <w:rsid w:val="00F575DB"/>
    <w:rsid w:val="00F57B51"/>
    <w:rsid w:val="00F60C42"/>
    <w:rsid w:val="00F61A5B"/>
    <w:rsid w:val="00F6237C"/>
    <w:rsid w:val="00F65401"/>
    <w:rsid w:val="00F65CC9"/>
    <w:rsid w:val="00F6637C"/>
    <w:rsid w:val="00F7062D"/>
    <w:rsid w:val="00F70A0E"/>
    <w:rsid w:val="00F70C6E"/>
    <w:rsid w:val="00F73ED2"/>
    <w:rsid w:val="00F74A8F"/>
    <w:rsid w:val="00F77313"/>
    <w:rsid w:val="00F77D9E"/>
    <w:rsid w:val="00F81959"/>
    <w:rsid w:val="00F81EE4"/>
    <w:rsid w:val="00F82F28"/>
    <w:rsid w:val="00F859A1"/>
    <w:rsid w:val="00F86C52"/>
    <w:rsid w:val="00F9329B"/>
    <w:rsid w:val="00F93AAD"/>
    <w:rsid w:val="00F94C86"/>
    <w:rsid w:val="00F9598E"/>
    <w:rsid w:val="00F96A22"/>
    <w:rsid w:val="00FA1FBB"/>
    <w:rsid w:val="00FA2F8F"/>
    <w:rsid w:val="00FB2939"/>
    <w:rsid w:val="00FB3662"/>
    <w:rsid w:val="00FB7DDB"/>
    <w:rsid w:val="00FC0647"/>
    <w:rsid w:val="00FC38DD"/>
    <w:rsid w:val="00FC3D60"/>
    <w:rsid w:val="00FC431C"/>
    <w:rsid w:val="00FD2DAA"/>
    <w:rsid w:val="00FE4AE8"/>
    <w:rsid w:val="00FE4FA3"/>
    <w:rsid w:val="00FE73C5"/>
    <w:rsid w:val="00FE7A0D"/>
    <w:rsid w:val="00FE7FD8"/>
    <w:rsid w:val="00FF447B"/>
    <w:rsid w:val="00FF7D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C8C"/>
  </w:style>
  <w:style w:type="paragraph" w:styleId="Heading2">
    <w:name w:val="heading 2"/>
    <w:basedOn w:val="Normal"/>
    <w:link w:val="Heading2Char"/>
    <w:uiPriority w:val="9"/>
    <w:qFormat/>
    <w:rsid w:val="00DA2659"/>
    <w:pPr>
      <w:spacing w:before="100" w:beforeAutospacing="1" w:after="100" w:afterAutospacing="1" w:line="240" w:lineRule="auto"/>
      <w:outlineLvl w:val="1"/>
    </w:pPr>
    <w:rPr>
      <w:rFonts w:ascii="Times New Roman" w:eastAsia="Times New Roman" w:hAnsi="Times New Roman" w:cs="Times New Roman"/>
      <w:b/>
      <w:bCs/>
      <w:sz w:val="36"/>
      <w:szCs w:val="36"/>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74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31706"/>
    <w:pPr>
      <w:ind w:left="720"/>
      <w:contextualSpacing/>
    </w:pPr>
  </w:style>
  <w:style w:type="paragraph" w:styleId="Header">
    <w:name w:val="header"/>
    <w:basedOn w:val="Normal"/>
    <w:link w:val="HeaderChar"/>
    <w:uiPriority w:val="99"/>
    <w:unhideWhenUsed/>
    <w:rsid w:val="006B53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5381"/>
  </w:style>
  <w:style w:type="paragraph" w:styleId="Footer">
    <w:name w:val="footer"/>
    <w:basedOn w:val="Normal"/>
    <w:link w:val="FooterChar"/>
    <w:unhideWhenUsed/>
    <w:rsid w:val="006B5381"/>
    <w:pPr>
      <w:tabs>
        <w:tab w:val="center" w:pos="4680"/>
        <w:tab w:val="right" w:pos="9360"/>
      </w:tabs>
      <w:spacing w:after="0" w:line="240" w:lineRule="auto"/>
    </w:pPr>
  </w:style>
  <w:style w:type="character" w:customStyle="1" w:styleId="FooterChar">
    <w:name w:val="Footer Char"/>
    <w:basedOn w:val="DefaultParagraphFont"/>
    <w:link w:val="Footer"/>
    <w:rsid w:val="006B5381"/>
  </w:style>
  <w:style w:type="paragraph" w:styleId="BalloonText">
    <w:name w:val="Balloon Text"/>
    <w:basedOn w:val="Normal"/>
    <w:link w:val="BalloonTextChar"/>
    <w:uiPriority w:val="99"/>
    <w:semiHidden/>
    <w:unhideWhenUsed/>
    <w:rsid w:val="008F59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904"/>
    <w:rPr>
      <w:rFonts w:ascii="Tahoma" w:hAnsi="Tahoma" w:cs="Tahoma"/>
      <w:sz w:val="16"/>
      <w:szCs w:val="16"/>
    </w:rPr>
  </w:style>
  <w:style w:type="paragraph" w:styleId="NormalWeb">
    <w:name w:val="Normal (Web)"/>
    <w:basedOn w:val="Normal"/>
    <w:uiPriority w:val="99"/>
    <w:semiHidden/>
    <w:unhideWhenUsed/>
    <w:rsid w:val="00643E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50E58"/>
    <w:pPr>
      <w:autoSpaceDE w:val="0"/>
      <w:autoSpaceDN w:val="0"/>
      <w:adjustRightInd w:val="0"/>
      <w:spacing w:after="0" w:line="240" w:lineRule="auto"/>
    </w:pPr>
    <w:rPr>
      <w:rFonts w:ascii="Verdana" w:hAnsi="Verdana" w:cs="Verdana"/>
      <w:color w:val="000000"/>
      <w:sz w:val="24"/>
      <w:szCs w:val="24"/>
    </w:rPr>
  </w:style>
  <w:style w:type="character" w:customStyle="1" w:styleId="Heading2Char">
    <w:name w:val="Heading 2 Char"/>
    <w:basedOn w:val="DefaultParagraphFont"/>
    <w:link w:val="Heading2"/>
    <w:uiPriority w:val="9"/>
    <w:rsid w:val="00DA2659"/>
    <w:rPr>
      <w:rFonts w:ascii="Times New Roman" w:eastAsia="Times New Roman" w:hAnsi="Times New Roman" w:cs="Times New Roman"/>
      <w:b/>
      <w:bCs/>
      <w:sz w:val="36"/>
      <w:szCs w:val="36"/>
      <w:lang w:val="en-IN" w:eastAsia="en-IN"/>
    </w:rPr>
  </w:style>
</w:styles>
</file>

<file path=word/webSettings.xml><?xml version="1.0" encoding="utf-8"?>
<w:webSettings xmlns:r="http://schemas.openxmlformats.org/officeDocument/2006/relationships" xmlns:w="http://schemas.openxmlformats.org/wordprocessingml/2006/main">
  <w:divs>
    <w:div w:id="8455861">
      <w:bodyDiv w:val="1"/>
      <w:marLeft w:val="0"/>
      <w:marRight w:val="0"/>
      <w:marTop w:val="0"/>
      <w:marBottom w:val="0"/>
      <w:divBdr>
        <w:top w:val="none" w:sz="0" w:space="0" w:color="auto"/>
        <w:left w:val="none" w:sz="0" w:space="0" w:color="auto"/>
        <w:bottom w:val="none" w:sz="0" w:space="0" w:color="auto"/>
        <w:right w:val="none" w:sz="0" w:space="0" w:color="auto"/>
      </w:divBdr>
    </w:div>
    <w:div w:id="16926418">
      <w:bodyDiv w:val="1"/>
      <w:marLeft w:val="0"/>
      <w:marRight w:val="0"/>
      <w:marTop w:val="0"/>
      <w:marBottom w:val="0"/>
      <w:divBdr>
        <w:top w:val="none" w:sz="0" w:space="0" w:color="auto"/>
        <w:left w:val="none" w:sz="0" w:space="0" w:color="auto"/>
        <w:bottom w:val="none" w:sz="0" w:space="0" w:color="auto"/>
        <w:right w:val="none" w:sz="0" w:space="0" w:color="auto"/>
      </w:divBdr>
    </w:div>
    <w:div w:id="42170571">
      <w:bodyDiv w:val="1"/>
      <w:marLeft w:val="0"/>
      <w:marRight w:val="0"/>
      <w:marTop w:val="0"/>
      <w:marBottom w:val="0"/>
      <w:divBdr>
        <w:top w:val="none" w:sz="0" w:space="0" w:color="auto"/>
        <w:left w:val="none" w:sz="0" w:space="0" w:color="auto"/>
        <w:bottom w:val="none" w:sz="0" w:space="0" w:color="auto"/>
        <w:right w:val="none" w:sz="0" w:space="0" w:color="auto"/>
      </w:divBdr>
      <w:divsChild>
        <w:div w:id="611282820">
          <w:marLeft w:val="547"/>
          <w:marRight w:val="0"/>
          <w:marTop w:val="115"/>
          <w:marBottom w:val="0"/>
          <w:divBdr>
            <w:top w:val="none" w:sz="0" w:space="0" w:color="auto"/>
            <w:left w:val="none" w:sz="0" w:space="0" w:color="auto"/>
            <w:bottom w:val="none" w:sz="0" w:space="0" w:color="auto"/>
            <w:right w:val="none" w:sz="0" w:space="0" w:color="auto"/>
          </w:divBdr>
        </w:div>
        <w:div w:id="223875120">
          <w:marLeft w:val="547"/>
          <w:marRight w:val="0"/>
          <w:marTop w:val="115"/>
          <w:marBottom w:val="0"/>
          <w:divBdr>
            <w:top w:val="none" w:sz="0" w:space="0" w:color="auto"/>
            <w:left w:val="none" w:sz="0" w:space="0" w:color="auto"/>
            <w:bottom w:val="none" w:sz="0" w:space="0" w:color="auto"/>
            <w:right w:val="none" w:sz="0" w:space="0" w:color="auto"/>
          </w:divBdr>
        </w:div>
      </w:divsChild>
    </w:div>
    <w:div w:id="45689658">
      <w:bodyDiv w:val="1"/>
      <w:marLeft w:val="0"/>
      <w:marRight w:val="0"/>
      <w:marTop w:val="0"/>
      <w:marBottom w:val="0"/>
      <w:divBdr>
        <w:top w:val="none" w:sz="0" w:space="0" w:color="auto"/>
        <w:left w:val="none" w:sz="0" w:space="0" w:color="auto"/>
        <w:bottom w:val="none" w:sz="0" w:space="0" w:color="auto"/>
        <w:right w:val="none" w:sz="0" w:space="0" w:color="auto"/>
      </w:divBdr>
    </w:div>
    <w:div w:id="93015350">
      <w:bodyDiv w:val="1"/>
      <w:marLeft w:val="0"/>
      <w:marRight w:val="0"/>
      <w:marTop w:val="0"/>
      <w:marBottom w:val="0"/>
      <w:divBdr>
        <w:top w:val="none" w:sz="0" w:space="0" w:color="auto"/>
        <w:left w:val="none" w:sz="0" w:space="0" w:color="auto"/>
        <w:bottom w:val="none" w:sz="0" w:space="0" w:color="auto"/>
        <w:right w:val="none" w:sz="0" w:space="0" w:color="auto"/>
      </w:divBdr>
      <w:divsChild>
        <w:div w:id="1886943941">
          <w:marLeft w:val="547"/>
          <w:marRight w:val="0"/>
          <w:marTop w:val="115"/>
          <w:marBottom w:val="0"/>
          <w:divBdr>
            <w:top w:val="none" w:sz="0" w:space="0" w:color="auto"/>
            <w:left w:val="none" w:sz="0" w:space="0" w:color="auto"/>
            <w:bottom w:val="none" w:sz="0" w:space="0" w:color="auto"/>
            <w:right w:val="none" w:sz="0" w:space="0" w:color="auto"/>
          </w:divBdr>
        </w:div>
      </w:divsChild>
    </w:div>
    <w:div w:id="109513051">
      <w:bodyDiv w:val="1"/>
      <w:marLeft w:val="0"/>
      <w:marRight w:val="0"/>
      <w:marTop w:val="0"/>
      <w:marBottom w:val="0"/>
      <w:divBdr>
        <w:top w:val="none" w:sz="0" w:space="0" w:color="auto"/>
        <w:left w:val="none" w:sz="0" w:space="0" w:color="auto"/>
        <w:bottom w:val="none" w:sz="0" w:space="0" w:color="auto"/>
        <w:right w:val="none" w:sz="0" w:space="0" w:color="auto"/>
      </w:divBdr>
      <w:divsChild>
        <w:div w:id="1493257412">
          <w:marLeft w:val="547"/>
          <w:marRight w:val="0"/>
          <w:marTop w:val="106"/>
          <w:marBottom w:val="0"/>
          <w:divBdr>
            <w:top w:val="none" w:sz="0" w:space="0" w:color="auto"/>
            <w:left w:val="none" w:sz="0" w:space="0" w:color="auto"/>
            <w:bottom w:val="none" w:sz="0" w:space="0" w:color="auto"/>
            <w:right w:val="none" w:sz="0" w:space="0" w:color="auto"/>
          </w:divBdr>
        </w:div>
        <w:div w:id="164900205">
          <w:marLeft w:val="547"/>
          <w:marRight w:val="0"/>
          <w:marTop w:val="106"/>
          <w:marBottom w:val="0"/>
          <w:divBdr>
            <w:top w:val="none" w:sz="0" w:space="0" w:color="auto"/>
            <w:left w:val="none" w:sz="0" w:space="0" w:color="auto"/>
            <w:bottom w:val="none" w:sz="0" w:space="0" w:color="auto"/>
            <w:right w:val="none" w:sz="0" w:space="0" w:color="auto"/>
          </w:divBdr>
        </w:div>
        <w:div w:id="2014138882">
          <w:marLeft w:val="547"/>
          <w:marRight w:val="0"/>
          <w:marTop w:val="106"/>
          <w:marBottom w:val="0"/>
          <w:divBdr>
            <w:top w:val="none" w:sz="0" w:space="0" w:color="auto"/>
            <w:left w:val="none" w:sz="0" w:space="0" w:color="auto"/>
            <w:bottom w:val="none" w:sz="0" w:space="0" w:color="auto"/>
            <w:right w:val="none" w:sz="0" w:space="0" w:color="auto"/>
          </w:divBdr>
        </w:div>
        <w:div w:id="1116756915">
          <w:marLeft w:val="547"/>
          <w:marRight w:val="0"/>
          <w:marTop w:val="106"/>
          <w:marBottom w:val="0"/>
          <w:divBdr>
            <w:top w:val="none" w:sz="0" w:space="0" w:color="auto"/>
            <w:left w:val="none" w:sz="0" w:space="0" w:color="auto"/>
            <w:bottom w:val="none" w:sz="0" w:space="0" w:color="auto"/>
            <w:right w:val="none" w:sz="0" w:space="0" w:color="auto"/>
          </w:divBdr>
        </w:div>
      </w:divsChild>
    </w:div>
    <w:div w:id="110830657">
      <w:bodyDiv w:val="1"/>
      <w:marLeft w:val="0"/>
      <w:marRight w:val="0"/>
      <w:marTop w:val="0"/>
      <w:marBottom w:val="0"/>
      <w:divBdr>
        <w:top w:val="none" w:sz="0" w:space="0" w:color="auto"/>
        <w:left w:val="none" w:sz="0" w:space="0" w:color="auto"/>
        <w:bottom w:val="none" w:sz="0" w:space="0" w:color="auto"/>
        <w:right w:val="none" w:sz="0" w:space="0" w:color="auto"/>
      </w:divBdr>
    </w:div>
    <w:div w:id="127019415">
      <w:bodyDiv w:val="1"/>
      <w:marLeft w:val="0"/>
      <w:marRight w:val="0"/>
      <w:marTop w:val="0"/>
      <w:marBottom w:val="0"/>
      <w:divBdr>
        <w:top w:val="none" w:sz="0" w:space="0" w:color="auto"/>
        <w:left w:val="none" w:sz="0" w:space="0" w:color="auto"/>
        <w:bottom w:val="none" w:sz="0" w:space="0" w:color="auto"/>
        <w:right w:val="none" w:sz="0" w:space="0" w:color="auto"/>
      </w:divBdr>
      <w:divsChild>
        <w:div w:id="2031030810">
          <w:marLeft w:val="547"/>
          <w:marRight w:val="0"/>
          <w:marTop w:val="115"/>
          <w:marBottom w:val="0"/>
          <w:divBdr>
            <w:top w:val="none" w:sz="0" w:space="0" w:color="auto"/>
            <w:left w:val="none" w:sz="0" w:space="0" w:color="auto"/>
            <w:bottom w:val="none" w:sz="0" w:space="0" w:color="auto"/>
            <w:right w:val="none" w:sz="0" w:space="0" w:color="auto"/>
          </w:divBdr>
        </w:div>
      </w:divsChild>
    </w:div>
    <w:div w:id="132525567">
      <w:bodyDiv w:val="1"/>
      <w:marLeft w:val="0"/>
      <w:marRight w:val="0"/>
      <w:marTop w:val="0"/>
      <w:marBottom w:val="0"/>
      <w:divBdr>
        <w:top w:val="none" w:sz="0" w:space="0" w:color="auto"/>
        <w:left w:val="none" w:sz="0" w:space="0" w:color="auto"/>
        <w:bottom w:val="none" w:sz="0" w:space="0" w:color="auto"/>
        <w:right w:val="none" w:sz="0" w:space="0" w:color="auto"/>
      </w:divBdr>
    </w:div>
    <w:div w:id="137580458">
      <w:bodyDiv w:val="1"/>
      <w:marLeft w:val="0"/>
      <w:marRight w:val="0"/>
      <w:marTop w:val="0"/>
      <w:marBottom w:val="0"/>
      <w:divBdr>
        <w:top w:val="none" w:sz="0" w:space="0" w:color="auto"/>
        <w:left w:val="none" w:sz="0" w:space="0" w:color="auto"/>
        <w:bottom w:val="none" w:sz="0" w:space="0" w:color="auto"/>
        <w:right w:val="none" w:sz="0" w:space="0" w:color="auto"/>
      </w:divBdr>
    </w:div>
    <w:div w:id="152646943">
      <w:bodyDiv w:val="1"/>
      <w:marLeft w:val="0"/>
      <w:marRight w:val="0"/>
      <w:marTop w:val="0"/>
      <w:marBottom w:val="0"/>
      <w:divBdr>
        <w:top w:val="none" w:sz="0" w:space="0" w:color="auto"/>
        <w:left w:val="none" w:sz="0" w:space="0" w:color="auto"/>
        <w:bottom w:val="none" w:sz="0" w:space="0" w:color="auto"/>
        <w:right w:val="none" w:sz="0" w:space="0" w:color="auto"/>
      </w:divBdr>
    </w:div>
    <w:div w:id="161626707">
      <w:bodyDiv w:val="1"/>
      <w:marLeft w:val="0"/>
      <w:marRight w:val="0"/>
      <w:marTop w:val="0"/>
      <w:marBottom w:val="0"/>
      <w:divBdr>
        <w:top w:val="none" w:sz="0" w:space="0" w:color="auto"/>
        <w:left w:val="none" w:sz="0" w:space="0" w:color="auto"/>
        <w:bottom w:val="none" w:sz="0" w:space="0" w:color="auto"/>
        <w:right w:val="none" w:sz="0" w:space="0" w:color="auto"/>
      </w:divBdr>
    </w:div>
    <w:div w:id="170335446">
      <w:bodyDiv w:val="1"/>
      <w:marLeft w:val="0"/>
      <w:marRight w:val="0"/>
      <w:marTop w:val="0"/>
      <w:marBottom w:val="0"/>
      <w:divBdr>
        <w:top w:val="none" w:sz="0" w:space="0" w:color="auto"/>
        <w:left w:val="none" w:sz="0" w:space="0" w:color="auto"/>
        <w:bottom w:val="none" w:sz="0" w:space="0" w:color="auto"/>
        <w:right w:val="none" w:sz="0" w:space="0" w:color="auto"/>
      </w:divBdr>
      <w:divsChild>
        <w:div w:id="857542320">
          <w:marLeft w:val="547"/>
          <w:marRight w:val="0"/>
          <w:marTop w:val="115"/>
          <w:marBottom w:val="0"/>
          <w:divBdr>
            <w:top w:val="none" w:sz="0" w:space="0" w:color="auto"/>
            <w:left w:val="none" w:sz="0" w:space="0" w:color="auto"/>
            <w:bottom w:val="none" w:sz="0" w:space="0" w:color="auto"/>
            <w:right w:val="none" w:sz="0" w:space="0" w:color="auto"/>
          </w:divBdr>
        </w:div>
      </w:divsChild>
    </w:div>
    <w:div w:id="217009135">
      <w:bodyDiv w:val="1"/>
      <w:marLeft w:val="0"/>
      <w:marRight w:val="0"/>
      <w:marTop w:val="0"/>
      <w:marBottom w:val="0"/>
      <w:divBdr>
        <w:top w:val="none" w:sz="0" w:space="0" w:color="auto"/>
        <w:left w:val="none" w:sz="0" w:space="0" w:color="auto"/>
        <w:bottom w:val="none" w:sz="0" w:space="0" w:color="auto"/>
        <w:right w:val="none" w:sz="0" w:space="0" w:color="auto"/>
      </w:divBdr>
      <w:divsChild>
        <w:div w:id="385374677">
          <w:marLeft w:val="0"/>
          <w:marRight w:val="0"/>
          <w:marTop w:val="96"/>
          <w:marBottom w:val="0"/>
          <w:divBdr>
            <w:top w:val="none" w:sz="0" w:space="0" w:color="auto"/>
            <w:left w:val="none" w:sz="0" w:space="0" w:color="auto"/>
            <w:bottom w:val="none" w:sz="0" w:space="0" w:color="auto"/>
            <w:right w:val="none" w:sz="0" w:space="0" w:color="auto"/>
          </w:divBdr>
        </w:div>
        <w:div w:id="594481245">
          <w:marLeft w:val="0"/>
          <w:marRight w:val="0"/>
          <w:marTop w:val="96"/>
          <w:marBottom w:val="0"/>
          <w:divBdr>
            <w:top w:val="none" w:sz="0" w:space="0" w:color="auto"/>
            <w:left w:val="none" w:sz="0" w:space="0" w:color="auto"/>
            <w:bottom w:val="none" w:sz="0" w:space="0" w:color="auto"/>
            <w:right w:val="none" w:sz="0" w:space="0" w:color="auto"/>
          </w:divBdr>
        </w:div>
        <w:div w:id="1132164390">
          <w:marLeft w:val="0"/>
          <w:marRight w:val="0"/>
          <w:marTop w:val="96"/>
          <w:marBottom w:val="0"/>
          <w:divBdr>
            <w:top w:val="none" w:sz="0" w:space="0" w:color="auto"/>
            <w:left w:val="none" w:sz="0" w:space="0" w:color="auto"/>
            <w:bottom w:val="none" w:sz="0" w:space="0" w:color="auto"/>
            <w:right w:val="none" w:sz="0" w:space="0" w:color="auto"/>
          </w:divBdr>
        </w:div>
        <w:div w:id="1415787525">
          <w:marLeft w:val="0"/>
          <w:marRight w:val="0"/>
          <w:marTop w:val="96"/>
          <w:marBottom w:val="0"/>
          <w:divBdr>
            <w:top w:val="none" w:sz="0" w:space="0" w:color="auto"/>
            <w:left w:val="none" w:sz="0" w:space="0" w:color="auto"/>
            <w:bottom w:val="none" w:sz="0" w:space="0" w:color="auto"/>
            <w:right w:val="none" w:sz="0" w:space="0" w:color="auto"/>
          </w:divBdr>
        </w:div>
        <w:div w:id="677853839">
          <w:marLeft w:val="0"/>
          <w:marRight w:val="0"/>
          <w:marTop w:val="96"/>
          <w:marBottom w:val="0"/>
          <w:divBdr>
            <w:top w:val="none" w:sz="0" w:space="0" w:color="auto"/>
            <w:left w:val="none" w:sz="0" w:space="0" w:color="auto"/>
            <w:bottom w:val="none" w:sz="0" w:space="0" w:color="auto"/>
            <w:right w:val="none" w:sz="0" w:space="0" w:color="auto"/>
          </w:divBdr>
        </w:div>
      </w:divsChild>
    </w:div>
    <w:div w:id="219756096">
      <w:bodyDiv w:val="1"/>
      <w:marLeft w:val="0"/>
      <w:marRight w:val="0"/>
      <w:marTop w:val="0"/>
      <w:marBottom w:val="0"/>
      <w:divBdr>
        <w:top w:val="none" w:sz="0" w:space="0" w:color="auto"/>
        <w:left w:val="none" w:sz="0" w:space="0" w:color="auto"/>
        <w:bottom w:val="none" w:sz="0" w:space="0" w:color="auto"/>
        <w:right w:val="none" w:sz="0" w:space="0" w:color="auto"/>
      </w:divBdr>
      <w:divsChild>
        <w:div w:id="1358192927">
          <w:marLeft w:val="547"/>
          <w:marRight w:val="0"/>
          <w:marTop w:val="115"/>
          <w:marBottom w:val="0"/>
          <w:divBdr>
            <w:top w:val="none" w:sz="0" w:space="0" w:color="auto"/>
            <w:left w:val="none" w:sz="0" w:space="0" w:color="auto"/>
            <w:bottom w:val="none" w:sz="0" w:space="0" w:color="auto"/>
            <w:right w:val="none" w:sz="0" w:space="0" w:color="auto"/>
          </w:divBdr>
        </w:div>
      </w:divsChild>
    </w:div>
    <w:div w:id="224226530">
      <w:bodyDiv w:val="1"/>
      <w:marLeft w:val="0"/>
      <w:marRight w:val="0"/>
      <w:marTop w:val="0"/>
      <w:marBottom w:val="0"/>
      <w:divBdr>
        <w:top w:val="none" w:sz="0" w:space="0" w:color="auto"/>
        <w:left w:val="none" w:sz="0" w:space="0" w:color="auto"/>
        <w:bottom w:val="none" w:sz="0" w:space="0" w:color="auto"/>
        <w:right w:val="none" w:sz="0" w:space="0" w:color="auto"/>
      </w:divBdr>
    </w:div>
    <w:div w:id="236981370">
      <w:bodyDiv w:val="1"/>
      <w:marLeft w:val="0"/>
      <w:marRight w:val="0"/>
      <w:marTop w:val="0"/>
      <w:marBottom w:val="0"/>
      <w:divBdr>
        <w:top w:val="none" w:sz="0" w:space="0" w:color="auto"/>
        <w:left w:val="none" w:sz="0" w:space="0" w:color="auto"/>
        <w:bottom w:val="none" w:sz="0" w:space="0" w:color="auto"/>
        <w:right w:val="none" w:sz="0" w:space="0" w:color="auto"/>
      </w:divBdr>
    </w:div>
    <w:div w:id="240677682">
      <w:bodyDiv w:val="1"/>
      <w:marLeft w:val="0"/>
      <w:marRight w:val="0"/>
      <w:marTop w:val="0"/>
      <w:marBottom w:val="0"/>
      <w:divBdr>
        <w:top w:val="none" w:sz="0" w:space="0" w:color="auto"/>
        <w:left w:val="none" w:sz="0" w:space="0" w:color="auto"/>
        <w:bottom w:val="none" w:sz="0" w:space="0" w:color="auto"/>
        <w:right w:val="none" w:sz="0" w:space="0" w:color="auto"/>
      </w:divBdr>
    </w:div>
    <w:div w:id="283005455">
      <w:bodyDiv w:val="1"/>
      <w:marLeft w:val="0"/>
      <w:marRight w:val="0"/>
      <w:marTop w:val="0"/>
      <w:marBottom w:val="0"/>
      <w:divBdr>
        <w:top w:val="none" w:sz="0" w:space="0" w:color="auto"/>
        <w:left w:val="none" w:sz="0" w:space="0" w:color="auto"/>
        <w:bottom w:val="none" w:sz="0" w:space="0" w:color="auto"/>
        <w:right w:val="none" w:sz="0" w:space="0" w:color="auto"/>
      </w:divBdr>
      <w:divsChild>
        <w:div w:id="498227940">
          <w:marLeft w:val="547"/>
          <w:marRight w:val="0"/>
          <w:marTop w:val="115"/>
          <w:marBottom w:val="0"/>
          <w:divBdr>
            <w:top w:val="none" w:sz="0" w:space="0" w:color="auto"/>
            <w:left w:val="none" w:sz="0" w:space="0" w:color="auto"/>
            <w:bottom w:val="none" w:sz="0" w:space="0" w:color="auto"/>
            <w:right w:val="none" w:sz="0" w:space="0" w:color="auto"/>
          </w:divBdr>
        </w:div>
      </w:divsChild>
    </w:div>
    <w:div w:id="304700446">
      <w:bodyDiv w:val="1"/>
      <w:marLeft w:val="0"/>
      <w:marRight w:val="0"/>
      <w:marTop w:val="0"/>
      <w:marBottom w:val="0"/>
      <w:divBdr>
        <w:top w:val="none" w:sz="0" w:space="0" w:color="auto"/>
        <w:left w:val="none" w:sz="0" w:space="0" w:color="auto"/>
        <w:bottom w:val="none" w:sz="0" w:space="0" w:color="auto"/>
        <w:right w:val="none" w:sz="0" w:space="0" w:color="auto"/>
      </w:divBdr>
    </w:div>
    <w:div w:id="318658150">
      <w:bodyDiv w:val="1"/>
      <w:marLeft w:val="0"/>
      <w:marRight w:val="0"/>
      <w:marTop w:val="0"/>
      <w:marBottom w:val="0"/>
      <w:divBdr>
        <w:top w:val="none" w:sz="0" w:space="0" w:color="auto"/>
        <w:left w:val="none" w:sz="0" w:space="0" w:color="auto"/>
        <w:bottom w:val="none" w:sz="0" w:space="0" w:color="auto"/>
        <w:right w:val="none" w:sz="0" w:space="0" w:color="auto"/>
      </w:divBdr>
      <w:divsChild>
        <w:div w:id="638189718">
          <w:marLeft w:val="0"/>
          <w:marRight w:val="0"/>
          <w:marTop w:val="106"/>
          <w:marBottom w:val="0"/>
          <w:divBdr>
            <w:top w:val="none" w:sz="0" w:space="0" w:color="auto"/>
            <w:left w:val="none" w:sz="0" w:space="0" w:color="auto"/>
            <w:bottom w:val="none" w:sz="0" w:space="0" w:color="auto"/>
            <w:right w:val="none" w:sz="0" w:space="0" w:color="auto"/>
          </w:divBdr>
        </w:div>
      </w:divsChild>
    </w:div>
    <w:div w:id="406729448">
      <w:bodyDiv w:val="1"/>
      <w:marLeft w:val="0"/>
      <w:marRight w:val="0"/>
      <w:marTop w:val="0"/>
      <w:marBottom w:val="0"/>
      <w:divBdr>
        <w:top w:val="none" w:sz="0" w:space="0" w:color="auto"/>
        <w:left w:val="none" w:sz="0" w:space="0" w:color="auto"/>
        <w:bottom w:val="none" w:sz="0" w:space="0" w:color="auto"/>
        <w:right w:val="none" w:sz="0" w:space="0" w:color="auto"/>
      </w:divBdr>
    </w:div>
    <w:div w:id="416094710">
      <w:bodyDiv w:val="1"/>
      <w:marLeft w:val="0"/>
      <w:marRight w:val="0"/>
      <w:marTop w:val="0"/>
      <w:marBottom w:val="0"/>
      <w:divBdr>
        <w:top w:val="none" w:sz="0" w:space="0" w:color="auto"/>
        <w:left w:val="none" w:sz="0" w:space="0" w:color="auto"/>
        <w:bottom w:val="none" w:sz="0" w:space="0" w:color="auto"/>
        <w:right w:val="none" w:sz="0" w:space="0" w:color="auto"/>
      </w:divBdr>
      <w:divsChild>
        <w:div w:id="1817336025">
          <w:marLeft w:val="720"/>
          <w:marRight w:val="0"/>
          <w:marTop w:val="96"/>
          <w:marBottom w:val="0"/>
          <w:divBdr>
            <w:top w:val="none" w:sz="0" w:space="0" w:color="auto"/>
            <w:left w:val="none" w:sz="0" w:space="0" w:color="auto"/>
            <w:bottom w:val="none" w:sz="0" w:space="0" w:color="auto"/>
            <w:right w:val="none" w:sz="0" w:space="0" w:color="auto"/>
          </w:divBdr>
        </w:div>
      </w:divsChild>
    </w:div>
    <w:div w:id="416825829">
      <w:bodyDiv w:val="1"/>
      <w:marLeft w:val="0"/>
      <w:marRight w:val="0"/>
      <w:marTop w:val="0"/>
      <w:marBottom w:val="0"/>
      <w:divBdr>
        <w:top w:val="none" w:sz="0" w:space="0" w:color="auto"/>
        <w:left w:val="none" w:sz="0" w:space="0" w:color="auto"/>
        <w:bottom w:val="none" w:sz="0" w:space="0" w:color="auto"/>
        <w:right w:val="none" w:sz="0" w:space="0" w:color="auto"/>
      </w:divBdr>
      <w:divsChild>
        <w:div w:id="913398524">
          <w:marLeft w:val="547"/>
          <w:marRight w:val="0"/>
          <w:marTop w:val="106"/>
          <w:marBottom w:val="0"/>
          <w:divBdr>
            <w:top w:val="none" w:sz="0" w:space="0" w:color="auto"/>
            <w:left w:val="none" w:sz="0" w:space="0" w:color="auto"/>
            <w:bottom w:val="none" w:sz="0" w:space="0" w:color="auto"/>
            <w:right w:val="none" w:sz="0" w:space="0" w:color="auto"/>
          </w:divBdr>
        </w:div>
      </w:divsChild>
    </w:div>
    <w:div w:id="425731649">
      <w:bodyDiv w:val="1"/>
      <w:marLeft w:val="0"/>
      <w:marRight w:val="0"/>
      <w:marTop w:val="0"/>
      <w:marBottom w:val="0"/>
      <w:divBdr>
        <w:top w:val="none" w:sz="0" w:space="0" w:color="auto"/>
        <w:left w:val="none" w:sz="0" w:space="0" w:color="auto"/>
        <w:bottom w:val="none" w:sz="0" w:space="0" w:color="auto"/>
        <w:right w:val="none" w:sz="0" w:space="0" w:color="auto"/>
      </w:divBdr>
    </w:div>
    <w:div w:id="427970118">
      <w:bodyDiv w:val="1"/>
      <w:marLeft w:val="0"/>
      <w:marRight w:val="0"/>
      <w:marTop w:val="0"/>
      <w:marBottom w:val="0"/>
      <w:divBdr>
        <w:top w:val="none" w:sz="0" w:space="0" w:color="auto"/>
        <w:left w:val="none" w:sz="0" w:space="0" w:color="auto"/>
        <w:bottom w:val="none" w:sz="0" w:space="0" w:color="auto"/>
        <w:right w:val="none" w:sz="0" w:space="0" w:color="auto"/>
      </w:divBdr>
      <w:divsChild>
        <w:div w:id="1311523167">
          <w:marLeft w:val="547"/>
          <w:marRight w:val="0"/>
          <w:marTop w:val="58"/>
          <w:marBottom w:val="0"/>
          <w:divBdr>
            <w:top w:val="none" w:sz="0" w:space="0" w:color="auto"/>
            <w:left w:val="none" w:sz="0" w:space="0" w:color="auto"/>
            <w:bottom w:val="none" w:sz="0" w:space="0" w:color="auto"/>
            <w:right w:val="none" w:sz="0" w:space="0" w:color="auto"/>
          </w:divBdr>
        </w:div>
        <w:div w:id="1979145710">
          <w:marLeft w:val="547"/>
          <w:marRight w:val="0"/>
          <w:marTop w:val="58"/>
          <w:marBottom w:val="0"/>
          <w:divBdr>
            <w:top w:val="none" w:sz="0" w:space="0" w:color="auto"/>
            <w:left w:val="none" w:sz="0" w:space="0" w:color="auto"/>
            <w:bottom w:val="none" w:sz="0" w:space="0" w:color="auto"/>
            <w:right w:val="none" w:sz="0" w:space="0" w:color="auto"/>
          </w:divBdr>
        </w:div>
        <w:div w:id="683868461">
          <w:marLeft w:val="547"/>
          <w:marRight w:val="0"/>
          <w:marTop w:val="58"/>
          <w:marBottom w:val="0"/>
          <w:divBdr>
            <w:top w:val="none" w:sz="0" w:space="0" w:color="auto"/>
            <w:left w:val="none" w:sz="0" w:space="0" w:color="auto"/>
            <w:bottom w:val="none" w:sz="0" w:space="0" w:color="auto"/>
            <w:right w:val="none" w:sz="0" w:space="0" w:color="auto"/>
          </w:divBdr>
        </w:div>
      </w:divsChild>
    </w:div>
    <w:div w:id="428549595">
      <w:bodyDiv w:val="1"/>
      <w:marLeft w:val="0"/>
      <w:marRight w:val="0"/>
      <w:marTop w:val="0"/>
      <w:marBottom w:val="0"/>
      <w:divBdr>
        <w:top w:val="none" w:sz="0" w:space="0" w:color="auto"/>
        <w:left w:val="none" w:sz="0" w:space="0" w:color="auto"/>
        <w:bottom w:val="none" w:sz="0" w:space="0" w:color="auto"/>
        <w:right w:val="none" w:sz="0" w:space="0" w:color="auto"/>
      </w:divBdr>
    </w:div>
    <w:div w:id="430317666">
      <w:bodyDiv w:val="1"/>
      <w:marLeft w:val="0"/>
      <w:marRight w:val="0"/>
      <w:marTop w:val="0"/>
      <w:marBottom w:val="0"/>
      <w:divBdr>
        <w:top w:val="none" w:sz="0" w:space="0" w:color="auto"/>
        <w:left w:val="none" w:sz="0" w:space="0" w:color="auto"/>
        <w:bottom w:val="none" w:sz="0" w:space="0" w:color="auto"/>
        <w:right w:val="none" w:sz="0" w:space="0" w:color="auto"/>
      </w:divBdr>
      <w:divsChild>
        <w:div w:id="1221021575">
          <w:marLeft w:val="547"/>
          <w:marRight w:val="0"/>
          <w:marTop w:val="134"/>
          <w:marBottom w:val="0"/>
          <w:divBdr>
            <w:top w:val="none" w:sz="0" w:space="0" w:color="auto"/>
            <w:left w:val="none" w:sz="0" w:space="0" w:color="auto"/>
            <w:bottom w:val="none" w:sz="0" w:space="0" w:color="auto"/>
            <w:right w:val="none" w:sz="0" w:space="0" w:color="auto"/>
          </w:divBdr>
        </w:div>
      </w:divsChild>
    </w:div>
    <w:div w:id="450520040">
      <w:bodyDiv w:val="1"/>
      <w:marLeft w:val="0"/>
      <w:marRight w:val="0"/>
      <w:marTop w:val="0"/>
      <w:marBottom w:val="0"/>
      <w:divBdr>
        <w:top w:val="none" w:sz="0" w:space="0" w:color="auto"/>
        <w:left w:val="none" w:sz="0" w:space="0" w:color="auto"/>
        <w:bottom w:val="none" w:sz="0" w:space="0" w:color="auto"/>
        <w:right w:val="none" w:sz="0" w:space="0" w:color="auto"/>
      </w:divBdr>
      <w:divsChild>
        <w:div w:id="649793051">
          <w:marLeft w:val="547"/>
          <w:marRight w:val="0"/>
          <w:marTop w:val="134"/>
          <w:marBottom w:val="0"/>
          <w:divBdr>
            <w:top w:val="none" w:sz="0" w:space="0" w:color="auto"/>
            <w:left w:val="none" w:sz="0" w:space="0" w:color="auto"/>
            <w:bottom w:val="none" w:sz="0" w:space="0" w:color="auto"/>
            <w:right w:val="none" w:sz="0" w:space="0" w:color="auto"/>
          </w:divBdr>
        </w:div>
      </w:divsChild>
    </w:div>
    <w:div w:id="483276774">
      <w:bodyDiv w:val="1"/>
      <w:marLeft w:val="0"/>
      <w:marRight w:val="0"/>
      <w:marTop w:val="0"/>
      <w:marBottom w:val="0"/>
      <w:divBdr>
        <w:top w:val="none" w:sz="0" w:space="0" w:color="auto"/>
        <w:left w:val="none" w:sz="0" w:space="0" w:color="auto"/>
        <w:bottom w:val="none" w:sz="0" w:space="0" w:color="auto"/>
        <w:right w:val="none" w:sz="0" w:space="0" w:color="auto"/>
      </w:divBdr>
    </w:div>
    <w:div w:id="506410338">
      <w:bodyDiv w:val="1"/>
      <w:marLeft w:val="0"/>
      <w:marRight w:val="0"/>
      <w:marTop w:val="0"/>
      <w:marBottom w:val="0"/>
      <w:divBdr>
        <w:top w:val="none" w:sz="0" w:space="0" w:color="auto"/>
        <w:left w:val="none" w:sz="0" w:space="0" w:color="auto"/>
        <w:bottom w:val="none" w:sz="0" w:space="0" w:color="auto"/>
        <w:right w:val="none" w:sz="0" w:space="0" w:color="auto"/>
      </w:divBdr>
      <w:divsChild>
        <w:div w:id="1393390234">
          <w:marLeft w:val="547"/>
          <w:marRight w:val="0"/>
          <w:marTop w:val="125"/>
          <w:marBottom w:val="0"/>
          <w:divBdr>
            <w:top w:val="none" w:sz="0" w:space="0" w:color="auto"/>
            <w:left w:val="none" w:sz="0" w:space="0" w:color="auto"/>
            <w:bottom w:val="none" w:sz="0" w:space="0" w:color="auto"/>
            <w:right w:val="none" w:sz="0" w:space="0" w:color="auto"/>
          </w:divBdr>
        </w:div>
      </w:divsChild>
    </w:div>
    <w:div w:id="512379533">
      <w:bodyDiv w:val="1"/>
      <w:marLeft w:val="0"/>
      <w:marRight w:val="0"/>
      <w:marTop w:val="0"/>
      <w:marBottom w:val="0"/>
      <w:divBdr>
        <w:top w:val="none" w:sz="0" w:space="0" w:color="auto"/>
        <w:left w:val="none" w:sz="0" w:space="0" w:color="auto"/>
        <w:bottom w:val="none" w:sz="0" w:space="0" w:color="auto"/>
        <w:right w:val="none" w:sz="0" w:space="0" w:color="auto"/>
      </w:divBdr>
    </w:div>
    <w:div w:id="513231841">
      <w:bodyDiv w:val="1"/>
      <w:marLeft w:val="0"/>
      <w:marRight w:val="0"/>
      <w:marTop w:val="0"/>
      <w:marBottom w:val="0"/>
      <w:divBdr>
        <w:top w:val="none" w:sz="0" w:space="0" w:color="auto"/>
        <w:left w:val="none" w:sz="0" w:space="0" w:color="auto"/>
        <w:bottom w:val="none" w:sz="0" w:space="0" w:color="auto"/>
        <w:right w:val="none" w:sz="0" w:space="0" w:color="auto"/>
      </w:divBdr>
      <w:divsChild>
        <w:div w:id="1281565903">
          <w:marLeft w:val="547"/>
          <w:marRight w:val="0"/>
          <w:marTop w:val="106"/>
          <w:marBottom w:val="0"/>
          <w:divBdr>
            <w:top w:val="none" w:sz="0" w:space="0" w:color="auto"/>
            <w:left w:val="none" w:sz="0" w:space="0" w:color="auto"/>
            <w:bottom w:val="none" w:sz="0" w:space="0" w:color="auto"/>
            <w:right w:val="none" w:sz="0" w:space="0" w:color="auto"/>
          </w:divBdr>
        </w:div>
        <w:div w:id="596795686">
          <w:marLeft w:val="547"/>
          <w:marRight w:val="0"/>
          <w:marTop w:val="106"/>
          <w:marBottom w:val="0"/>
          <w:divBdr>
            <w:top w:val="none" w:sz="0" w:space="0" w:color="auto"/>
            <w:left w:val="none" w:sz="0" w:space="0" w:color="auto"/>
            <w:bottom w:val="none" w:sz="0" w:space="0" w:color="auto"/>
            <w:right w:val="none" w:sz="0" w:space="0" w:color="auto"/>
          </w:divBdr>
        </w:div>
      </w:divsChild>
    </w:div>
    <w:div w:id="517931651">
      <w:bodyDiv w:val="1"/>
      <w:marLeft w:val="0"/>
      <w:marRight w:val="0"/>
      <w:marTop w:val="0"/>
      <w:marBottom w:val="0"/>
      <w:divBdr>
        <w:top w:val="none" w:sz="0" w:space="0" w:color="auto"/>
        <w:left w:val="none" w:sz="0" w:space="0" w:color="auto"/>
        <w:bottom w:val="none" w:sz="0" w:space="0" w:color="auto"/>
        <w:right w:val="none" w:sz="0" w:space="0" w:color="auto"/>
      </w:divBdr>
    </w:div>
    <w:div w:id="529876554">
      <w:bodyDiv w:val="1"/>
      <w:marLeft w:val="0"/>
      <w:marRight w:val="0"/>
      <w:marTop w:val="0"/>
      <w:marBottom w:val="0"/>
      <w:divBdr>
        <w:top w:val="none" w:sz="0" w:space="0" w:color="auto"/>
        <w:left w:val="none" w:sz="0" w:space="0" w:color="auto"/>
        <w:bottom w:val="none" w:sz="0" w:space="0" w:color="auto"/>
        <w:right w:val="none" w:sz="0" w:space="0" w:color="auto"/>
      </w:divBdr>
      <w:divsChild>
        <w:div w:id="1235748815">
          <w:marLeft w:val="547"/>
          <w:marRight w:val="0"/>
          <w:marTop w:val="134"/>
          <w:marBottom w:val="0"/>
          <w:divBdr>
            <w:top w:val="none" w:sz="0" w:space="0" w:color="auto"/>
            <w:left w:val="none" w:sz="0" w:space="0" w:color="auto"/>
            <w:bottom w:val="none" w:sz="0" w:space="0" w:color="auto"/>
            <w:right w:val="none" w:sz="0" w:space="0" w:color="auto"/>
          </w:divBdr>
        </w:div>
      </w:divsChild>
    </w:div>
    <w:div w:id="532113305">
      <w:bodyDiv w:val="1"/>
      <w:marLeft w:val="0"/>
      <w:marRight w:val="0"/>
      <w:marTop w:val="0"/>
      <w:marBottom w:val="0"/>
      <w:divBdr>
        <w:top w:val="none" w:sz="0" w:space="0" w:color="auto"/>
        <w:left w:val="none" w:sz="0" w:space="0" w:color="auto"/>
        <w:bottom w:val="none" w:sz="0" w:space="0" w:color="auto"/>
        <w:right w:val="none" w:sz="0" w:space="0" w:color="auto"/>
      </w:divBdr>
      <w:divsChild>
        <w:div w:id="945770382">
          <w:marLeft w:val="547"/>
          <w:marRight w:val="0"/>
          <w:marTop w:val="134"/>
          <w:marBottom w:val="0"/>
          <w:divBdr>
            <w:top w:val="none" w:sz="0" w:space="0" w:color="auto"/>
            <w:left w:val="none" w:sz="0" w:space="0" w:color="auto"/>
            <w:bottom w:val="none" w:sz="0" w:space="0" w:color="auto"/>
            <w:right w:val="none" w:sz="0" w:space="0" w:color="auto"/>
          </w:divBdr>
        </w:div>
      </w:divsChild>
    </w:div>
    <w:div w:id="602425074">
      <w:bodyDiv w:val="1"/>
      <w:marLeft w:val="0"/>
      <w:marRight w:val="0"/>
      <w:marTop w:val="0"/>
      <w:marBottom w:val="0"/>
      <w:divBdr>
        <w:top w:val="none" w:sz="0" w:space="0" w:color="auto"/>
        <w:left w:val="none" w:sz="0" w:space="0" w:color="auto"/>
        <w:bottom w:val="none" w:sz="0" w:space="0" w:color="auto"/>
        <w:right w:val="none" w:sz="0" w:space="0" w:color="auto"/>
      </w:divBdr>
      <w:divsChild>
        <w:div w:id="840661482">
          <w:marLeft w:val="547"/>
          <w:marRight w:val="0"/>
          <w:marTop w:val="96"/>
          <w:marBottom w:val="0"/>
          <w:divBdr>
            <w:top w:val="none" w:sz="0" w:space="0" w:color="auto"/>
            <w:left w:val="none" w:sz="0" w:space="0" w:color="auto"/>
            <w:bottom w:val="none" w:sz="0" w:space="0" w:color="auto"/>
            <w:right w:val="none" w:sz="0" w:space="0" w:color="auto"/>
          </w:divBdr>
        </w:div>
        <w:div w:id="1097485630">
          <w:marLeft w:val="547"/>
          <w:marRight w:val="0"/>
          <w:marTop w:val="96"/>
          <w:marBottom w:val="0"/>
          <w:divBdr>
            <w:top w:val="none" w:sz="0" w:space="0" w:color="auto"/>
            <w:left w:val="none" w:sz="0" w:space="0" w:color="auto"/>
            <w:bottom w:val="none" w:sz="0" w:space="0" w:color="auto"/>
            <w:right w:val="none" w:sz="0" w:space="0" w:color="auto"/>
          </w:divBdr>
        </w:div>
        <w:div w:id="1852834897">
          <w:marLeft w:val="547"/>
          <w:marRight w:val="0"/>
          <w:marTop w:val="96"/>
          <w:marBottom w:val="0"/>
          <w:divBdr>
            <w:top w:val="none" w:sz="0" w:space="0" w:color="auto"/>
            <w:left w:val="none" w:sz="0" w:space="0" w:color="auto"/>
            <w:bottom w:val="none" w:sz="0" w:space="0" w:color="auto"/>
            <w:right w:val="none" w:sz="0" w:space="0" w:color="auto"/>
          </w:divBdr>
        </w:div>
        <w:div w:id="238906863">
          <w:marLeft w:val="547"/>
          <w:marRight w:val="0"/>
          <w:marTop w:val="96"/>
          <w:marBottom w:val="0"/>
          <w:divBdr>
            <w:top w:val="none" w:sz="0" w:space="0" w:color="auto"/>
            <w:left w:val="none" w:sz="0" w:space="0" w:color="auto"/>
            <w:bottom w:val="none" w:sz="0" w:space="0" w:color="auto"/>
            <w:right w:val="none" w:sz="0" w:space="0" w:color="auto"/>
          </w:divBdr>
        </w:div>
      </w:divsChild>
    </w:div>
    <w:div w:id="609244000">
      <w:bodyDiv w:val="1"/>
      <w:marLeft w:val="0"/>
      <w:marRight w:val="0"/>
      <w:marTop w:val="0"/>
      <w:marBottom w:val="0"/>
      <w:divBdr>
        <w:top w:val="none" w:sz="0" w:space="0" w:color="auto"/>
        <w:left w:val="none" w:sz="0" w:space="0" w:color="auto"/>
        <w:bottom w:val="none" w:sz="0" w:space="0" w:color="auto"/>
        <w:right w:val="none" w:sz="0" w:space="0" w:color="auto"/>
      </w:divBdr>
      <w:divsChild>
        <w:div w:id="1340619264">
          <w:marLeft w:val="0"/>
          <w:marRight w:val="0"/>
          <w:marTop w:val="115"/>
          <w:marBottom w:val="0"/>
          <w:divBdr>
            <w:top w:val="none" w:sz="0" w:space="0" w:color="auto"/>
            <w:left w:val="none" w:sz="0" w:space="0" w:color="auto"/>
            <w:bottom w:val="none" w:sz="0" w:space="0" w:color="auto"/>
            <w:right w:val="none" w:sz="0" w:space="0" w:color="auto"/>
          </w:divBdr>
        </w:div>
      </w:divsChild>
    </w:div>
    <w:div w:id="631250833">
      <w:bodyDiv w:val="1"/>
      <w:marLeft w:val="0"/>
      <w:marRight w:val="0"/>
      <w:marTop w:val="0"/>
      <w:marBottom w:val="0"/>
      <w:divBdr>
        <w:top w:val="none" w:sz="0" w:space="0" w:color="auto"/>
        <w:left w:val="none" w:sz="0" w:space="0" w:color="auto"/>
        <w:bottom w:val="none" w:sz="0" w:space="0" w:color="auto"/>
        <w:right w:val="none" w:sz="0" w:space="0" w:color="auto"/>
      </w:divBdr>
      <w:divsChild>
        <w:div w:id="1316950281">
          <w:marLeft w:val="547"/>
          <w:marRight w:val="0"/>
          <w:marTop w:val="106"/>
          <w:marBottom w:val="0"/>
          <w:divBdr>
            <w:top w:val="none" w:sz="0" w:space="0" w:color="auto"/>
            <w:left w:val="none" w:sz="0" w:space="0" w:color="auto"/>
            <w:bottom w:val="none" w:sz="0" w:space="0" w:color="auto"/>
            <w:right w:val="none" w:sz="0" w:space="0" w:color="auto"/>
          </w:divBdr>
        </w:div>
        <w:div w:id="634607890">
          <w:marLeft w:val="547"/>
          <w:marRight w:val="0"/>
          <w:marTop w:val="106"/>
          <w:marBottom w:val="0"/>
          <w:divBdr>
            <w:top w:val="none" w:sz="0" w:space="0" w:color="auto"/>
            <w:left w:val="none" w:sz="0" w:space="0" w:color="auto"/>
            <w:bottom w:val="none" w:sz="0" w:space="0" w:color="auto"/>
            <w:right w:val="none" w:sz="0" w:space="0" w:color="auto"/>
          </w:divBdr>
        </w:div>
      </w:divsChild>
    </w:div>
    <w:div w:id="679770913">
      <w:bodyDiv w:val="1"/>
      <w:marLeft w:val="0"/>
      <w:marRight w:val="0"/>
      <w:marTop w:val="0"/>
      <w:marBottom w:val="0"/>
      <w:divBdr>
        <w:top w:val="none" w:sz="0" w:space="0" w:color="auto"/>
        <w:left w:val="none" w:sz="0" w:space="0" w:color="auto"/>
        <w:bottom w:val="none" w:sz="0" w:space="0" w:color="auto"/>
        <w:right w:val="none" w:sz="0" w:space="0" w:color="auto"/>
      </w:divBdr>
    </w:div>
    <w:div w:id="686978446">
      <w:bodyDiv w:val="1"/>
      <w:marLeft w:val="0"/>
      <w:marRight w:val="0"/>
      <w:marTop w:val="0"/>
      <w:marBottom w:val="0"/>
      <w:divBdr>
        <w:top w:val="none" w:sz="0" w:space="0" w:color="auto"/>
        <w:left w:val="none" w:sz="0" w:space="0" w:color="auto"/>
        <w:bottom w:val="none" w:sz="0" w:space="0" w:color="auto"/>
        <w:right w:val="none" w:sz="0" w:space="0" w:color="auto"/>
      </w:divBdr>
      <w:divsChild>
        <w:div w:id="1773284658">
          <w:marLeft w:val="547"/>
          <w:marRight w:val="0"/>
          <w:marTop w:val="82"/>
          <w:marBottom w:val="0"/>
          <w:divBdr>
            <w:top w:val="none" w:sz="0" w:space="0" w:color="auto"/>
            <w:left w:val="none" w:sz="0" w:space="0" w:color="auto"/>
            <w:bottom w:val="none" w:sz="0" w:space="0" w:color="auto"/>
            <w:right w:val="none" w:sz="0" w:space="0" w:color="auto"/>
          </w:divBdr>
        </w:div>
        <w:div w:id="1815903050">
          <w:marLeft w:val="547"/>
          <w:marRight w:val="0"/>
          <w:marTop w:val="82"/>
          <w:marBottom w:val="0"/>
          <w:divBdr>
            <w:top w:val="none" w:sz="0" w:space="0" w:color="auto"/>
            <w:left w:val="none" w:sz="0" w:space="0" w:color="auto"/>
            <w:bottom w:val="none" w:sz="0" w:space="0" w:color="auto"/>
            <w:right w:val="none" w:sz="0" w:space="0" w:color="auto"/>
          </w:divBdr>
        </w:div>
        <w:div w:id="2032997992">
          <w:marLeft w:val="547"/>
          <w:marRight w:val="0"/>
          <w:marTop w:val="82"/>
          <w:marBottom w:val="0"/>
          <w:divBdr>
            <w:top w:val="none" w:sz="0" w:space="0" w:color="auto"/>
            <w:left w:val="none" w:sz="0" w:space="0" w:color="auto"/>
            <w:bottom w:val="none" w:sz="0" w:space="0" w:color="auto"/>
            <w:right w:val="none" w:sz="0" w:space="0" w:color="auto"/>
          </w:divBdr>
        </w:div>
      </w:divsChild>
    </w:div>
    <w:div w:id="688483958">
      <w:bodyDiv w:val="1"/>
      <w:marLeft w:val="0"/>
      <w:marRight w:val="0"/>
      <w:marTop w:val="0"/>
      <w:marBottom w:val="0"/>
      <w:divBdr>
        <w:top w:val="none" w:sz="0" w:space="0" w:color="auto"/>
        <w:left w:val="none" w:sz="0" w:space="0" w:color="auto"/>
        <w:bottom w:val="none" w:sz="0" w:space="0" w:color="auto"/>
        <w:right w:val="none" w:sz="0" w:space="0" w:color="auto"/>
      </w:divBdr>
    </w:div>
    <w:div w:id="696590291">
      <w:bodyDiv w:val="1"/>
      <w:marLeft w:val="0"/>
      <w:marRight w:val="0"/>
      <w:marTop w:val="0"/>
      <w:marBottom w:val="0"/>
      <w:divBdr>
        <w:top w:val="none" w:sz="0" w:space="0" w:color="auto"/>
        <w:left w:val="none" w:sz="0" w:space="0" w:color="auto"/>
        <w:bottom w:val="none" w:sz="0" w:space="0" w:color="auto"/>
        <w:right w:val="none" w:sz="0" w:space="0" w:color="auto"/>
      </w:divBdr>
      <w:divsChild>
        <w:div w:id="477190421">
          <w:marLeft w:val="547"/>
          <w:marRight w:val="0"/>
          <w:marTop w:val="134"/>
          <w:marBottom w:val="0"/>
          <w:divBdr>
            <w:top w:val="none" w:sz="0" w:space="0" w:color="auto"/>
            <w:left w:val="none" w:sz="0" w:space="0" w:color="auto"/>
            <w:bottom w:val="none" w:sz="0" w:space="0" w:color="auto"/>
            <w:right w:val="none" w:sz="0" w:space="0" w:color="auto"/>
          </w:divBdr>
        </w:div>
        <w:div w:id="2005862909">
          <w:marLeft w:val="547"/>
          <w:marRight w:val="0"/>
          <w:marTop w:val="134"/>
          <w:marBottom w:val="0"/>
          <w:divBdr>
            <w:top w:val="none" w:sz="0" w:space="0" w:color="auto"/>
            <w:left w:val="none" w:sz="0" w:space="0" w:color="auto"/>
            <w:bottom w:val="none" w:sz="0" w:space="0" w:color="auto"/>
            <w:right w:val="none" w:sz="0" w:space="0" w:color="auto"/>
          </w:divBdr>
        </w:div>
      </w:divsChild>
    </w:div>
    <w:div w:id="705177934">
      <w:bodyDiv w:val="1"/>
      <w:marLeft w:val="0"/>
      <w:marRight w:val="0"/>
      <w:marTop w:val="0"/>
      <w:marBottom w:val="0"/>
      <w:divBdr>
        <w:top w:val="none" w:sz="0" w:space="0" w:color="auto"/>
        <w:left w:val="none" w:sz="0" w:space="0" w:color="auto"/>
        <w:bottom w:val="none" w:sz="0" w:space="0" w:color="auto"/>
        <w:right w:val="none" w:sz="0" w:space="0" w:color="auto"/>
      </w:divBdr>
    </w:div>
    <w:div w:id="736442302">
      <w:bodyDiv w:val="1"/>
      <w:marLeft w:val="0"/>
      <w:marRight w:val="0"/>
      <w:marTop w:val="0"/>
      <w:marBottom w:val="0"/>
      <w:divBdr>
        <w:top w:val="none" w:sz="0" w:space="0" w:color="auto"/>
        <w:left w:val="none" w:sz="0" w:space="0" w:color="auto"/>
        <w:bottom w:val="none" w:sz="0" w:space="0" w:color="auto"/>
        <w:right w:val="none" w:sz="0" w:space="0" w:color="auto"/>
      </w:divBdr>
    </w:div>
    <w:div w:id="743265221">
      <w:bodyDiv w:val="1"/>
      <w:marLeft w:val="0"/>
      <w:marRight w:val="0"/>
      <w:marTop w:val="0"/>
      <w:marBottom w:val="0"/>
      <w:divBdr>
        <w:top w:val="none" w:sz="0" w:space="0" w:color="auto"/>
        <w:left w:val="none" w:sz="0" w:space="0" w:color="auto"/>
        <w:bottom w:val="none" w:sz="0" w:space="0" w:color="auto"/>
        <w:right w:val="none" w:sz="0" w:space="0" w:color="auto"/>
      </w:divBdr>
    </w:div>
    <w:div w:id="754285562">
      <w:bodyDiv w:val="1"/>
      <w:marLeft w:val="0"/>
      <w:marRight w:val="0"/>
      <w:marTop w:val="0"/>
      <w:marBottom w:val="0"/>
      <w:divBdr>
        <w:top w:val="none" w:sz="0" w:space="0" w:color="auto"/>
        <w:left w:val="none" w:sz="0" w:space="0" w:color="auto"/>
        <w:bottom w:val="none" w:sz="0" w:space="0" w:color="auto"/>
        <w:right w:val="none" w:sz="0" w:space="0" w:color="auto"/>
      </w:divBdr>
      <w:divsChild>
        <w:div w:id="261308064">
          <w:marLeft w:val="0"/>
          <w:marRight w:val="0"/>
          <w:marTop w:val="0"/>
          <w:marBottom w:val="0"/>
          <w:divBdr>
            <w:top w:val="none" w:sz="0" w:space="0" w:color="auto"/>
            <w:left w:val="none" w:sz="0" w:space="0" w:color="auto"/>
            <w:bottom w:val="none" w:sz="0" w:space="0" w:color="auto"/>
            <w:right w:val="none" w:sz="0" w:space="0" w:color="auto"/>
          </w:divBdr>
          <w:divsChild>
            <w:div w:id="204401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26250">
      <w:bodyDiv w:val="1"/>
      <w:marLeft w:val="0"/>
      <w:marRight w:val="0"/>
      <w:marTop w:val="0"/>
      <w:marBottom w:val="0"/>
      <w:divBdr>
        <w:top w:val="none" w:sz="0" w:space="0" w:color="auto"/>
        <w:left w:val="none" w:sz="0" w:space="0" w:color="auto"/>
        <w:bottom w:val="none" w:sz="0" w:space="0" w:color="auto"/>
        <w:right w:val="none" w:sz="0" w:space="0" w:color="auto"/>
      </w:divBdr>
    </w:div>
    <w:div w:id="798257851">
      <w:bodyDiv w:val="1"/>
      <w:marLeft w:val="0"/>
      <w:marRight w:val="0"/>
      <w:marTop w:val="0"/>
      <w:marBottom w:val="0"/>
      <w:divBdr>
        <w:top w:val="none" w:sz="0" w:space="0" w:color="auto"/>
        <w:left w:val="none" w:sz="0" w:space="0" w:color="auto"/>
        <w:bottom w:val="none" w:sz="0" w:space="0" w:color="auto"/>
        <w:right w:val="none" w:sz="0" w:space="0" w:color="auto"/>
      </w:divBdr>
      <w:divsChild>
        <w:div w:id="707294874">
          <w:marLeft w:val="547"/>
          <w:marRight w:val="0"/>
          <w:marTop w:val="106"/>
          <w:marBottom w:val="0"/>
          <w:divBdr>
            <w:top w:val="none" w:sz="0" w:space="0" w:color="auto"/>
            <w:left w:val="none" w:sz="0" w:space="0" w:color="auto"/>
            <w:bottom w:val="none" w:sz="0" w:space="0" w:color="auto"/>
            <w:right w:val="none" w:sz="0" w:space="0" w:color="auto"/>
          </w:divBdr>
        </w:div>
      </w:divsChild>
    </w:div>
    <w:div w:id="801506410">
      <w:bodyDiv w:val="1"/>
      <w:marLeft w:val="0"/>
      <w:marRight w:val="0"/>
      <w:marTop w:val="0"/>
      <w:marBottom w:val="0"/>
      <w:divBdr>
        <w:top w:val="none" w:sz="0" w:space="0" w:color="auto"/>
        <w:left w:val="none" w:sz="0" w:space="0" w:color="auto"/>
        <w:bottom w:val="none" w:sz="0" w:space="0" w:color="auto"/>
        <w:right w:val="none" w:sz="0" w:space="0" w:color="auto"/>
      </w:divBdr>
    </w:div>
    <w:div w:id="810710905">
      <w:bodyDiv w:val="1"/>
      <w:marLeft w:val="0"/>
      <w:marRight w:val="0"/>
      <w:marTop w:val="0"/>
      <w:marBottom w:val="0"/>
      <w:divBdr>
        <w:top w:val="none" w:sz="0" w:space="0" w:color="auto"/>
        <w:left w:val="none" w:sz="0" w:space="0" w:color="auto"/>
        <w:bottom w:val="none" w:sz="0" w:space="0" w:color="auto"/>
        <w:right w:val="none" w:sz="0" w:space="0" w:color="auto"/>
      </w:divBdr>
    </w:div>
    <w:div w:id="817117515">
      <w:bodyDiv w:val="1"/>
      <w:marLeft w:val="0"/>
      <w:marRight w:val="0"/>
      <w:marTop w:val="0"/>
      <w:marBottom w:val="0"/>
      <w:divBdr>
        <w:top w:val="none" w:sz="0" w:space="0" w:color="auto"/>
        <w:left w:val="none" w:sz="0" w:space="0" w:color="auto"/>
        <w:bottom w:val="none" w:sz="0" w:space="0" w:color="auto"/>
        <w:right w:val="none" w:sz="0" w:space="0" w:color="auto"/>
      </w:divBdr>
    </w:div>
    <w:div w:id="853690988">
      <w:bodyDiv w:val="1"/>
      <w:marLeft w:val="0"/>
      <w:marRight w:val="0"/>
      <w:marTop w:val="0"/>
      <w:marBottom w:val="0"/>
      <w:divBdr>
        <w:top w:val="none" w:sz="0" w:space="0" w:color="auto"/>
        <w:left w:val="none" w:sz="0" w:space="0" w:color="auto"/>
        <w:bottom w:val="none" w:sz="0" w:space="0" w:color="auto"/>
        <w:right w:val="none" w:sz="0" w:space="0" w:color="auto"/>
      </w:divBdr>
    </w:div>
    <w:div w:id="868568629">
      <w:bodyDiv w:val="1"/>
      <w:marLeft w:val="0"/>
      <w:marRight w:val="0"/>
      <w:marTop w:val="0"/>
      <w:marBottom w:val="0"/>
      <w:divBdr>
        <w:top w:val="none" w:sz="0" w:space="0" w:color="auto"/>
        <w:left w:val="none" w:sz="0" w:space="0" w:color="auto"/>
        <w:bottom w:val="none" w:sz="0" w:space="0" w:color="auto"/>
        <w:right w:val="none" w:sz="0" w:space="0" w:color="auto"/>
      </w:divBdr>
      <w:divsChild>
        <w:div w:id="1518619299">
          <w:marLeft w:val="547"/>
          <w:marRight w:val="0"/>
          <w:marTop w:val="106"/>
          <w:marBottom w:val="0"/>
          <w:divBdr>
            <w:top w:val="none" w:sz="0" w:space="0" w:color="auto"/>
            <w:left w:val="none" w:sz="0" w:space="0" w:color="auto"/>
            <w:bottom w:val="none" w:sz="0" w:space="0" w:color="auto"/>
            <w:right w:val="none" w:sz="0" w:space="0" w:color="auto"/>
          </w:divBdr>
        </w:div>
        <w:div w:id="1850945974">
          <w:marLeft w:val="547"/>
          <w:marRight w:val="0"/>
          <w:marTop w:val="106"/>
          <w:marBottom w:val="0"/>
          <w:divBdr>
            <w:top w:val="none" w:sz="0" w:space="0" w:color="auto"/>
            <w:left w:val="none" w:sz="0" w:space="0" w:color="auto"/>
            <w:bottom w:val="none" w:sz="0" w:space="0" w:color="auto"/>
            <w:right w:val="none" w:sz="0" w:space="0" w:color="auto"/>
          </w:divBdr>
        </w:div>
        <w:div w:id="450439129">
          <w:marLeft w:val="547"/>
          <w:marRight w:val="0"/>
          <w:marTop w:val="106"/>
          <w:marBottom w:val="0"/>
          <w:divBdr>
            <w:top w:val="none" w:sz="0" w:space="0" w:color="auto"/>
            <w:left w:val="none" w:sz="0" w:space="0" w:color="auto"/>
            <w:bottom w:val="none" w:sz="0" w:space="0" w:color="auto"/>
            <w:right w:val="none" w:sz="0" w:space="0" w:color="auto"/>
          </w:divBdr>
        </w:div>
      </w:divsChild>
    </w:div>
    <w:div w:id="901058305">
      <w:bodyDiv w:val="1"/>
      <w:marLeft w:val="0"/>
      <w:marRight w:val="0"/>
      <w:marTop w:val="0"/>
      <w:marBottom w:val="0"/>
      <w:divBdr>
        <w:top w:val="none" w:sz="0" w:space="0" w:color="auto"/>
        <w:left w:val="none" w:sz="0" w:space="0" w:color="auto"/>
        <w:bottom w:val="none" w:sz="0" w:space="0" w:color="auto"/>
        <w:right w:val="none" w:sz="0" w:space="0" w:color="auto"/>
      </w:divBdr>
      <w:divsChild>
        <w:div w:id="2001545288">
          <w:marLeft w:val="547"/>
          <w:marRight w:val="0"/>
          <w:marTop w:val="134"/>
          <w:marBottom w:val="0"/>
          <w:divBdr>
            <w:top w:val="none" w:sz="0" w:space="0" w:color="auto"/>
            <w:left w:val="none" w:sz="0" w:space="0" w:color="auto"/>
            <w:bottom w:val="none" w:sz="0" w:space="0" w:color="auto"/>
            <w:right w:val="none" w:sz="0" w:space="0" w:color="auto"/>
          </w:divBdr>
        </w:div>
        <w:div w:id="1511599649">
          <w:marLeft w:val="547"/>
          <w:marRight w:val="0"/>
          <w:marTop w:val="134"/>
          <w:marBottom w:val="0"/>
          <w:divBdr>
            <w:top w:val="none" w:sz="0" w:space="0" w:color="auto"/>
            <w:left w:val="none" w:sz="0" w:space="0" w:color="auto"/>
            <w:bottom w:val="none" w:sz="0" w:space="0" w:color="auto"/>
            <w:right w:val="none" w:sz="0" w:space="0" w:color="auto"/>
          </w:divBdr>
        </w:div>
      </w:divsChild>
    </w:div>
    <w:div w:id="903297024">
      <w:bodyDiv w:val="1"/>
      <w:marLeft w:val="0"/>
      <w:marRight w:val="0"/>
      <w:marTop w:val="0"/>
      <w:marBottom w:val="0"/>
      <w:divBdr>
        <w:top w:val="none" w:sz="0" w:space="0" w:color="auto"/>
        <w:left w:val="none" w:sz="0" w:space="0" w:color="auto"/>
        <w:bottom w:val="none" w:sz="0" w:space="0" w:color="auto"/>
        <w:right w:val="none" w:sz="0" w:space="0" w:color="auto"/>
      </w:divBdr>
      <w:divsChild>
        <w:div w:id="264658831">
          <w:marLeft w:val="547"/>
          <w:marRight w:val="0"/>
          <w:marTop w:val="125"/>
          <w:marBottom w:val="0"/>
          <w:divBdr>
            <w:top w:val="none" w:sz="0" w:space="0" w:color="auto"/>
            <w:left w:val="none" w:sz="0" w:space="0" w:color="auto"/>
            <w:bottom w:val="none" w:sz="0" w:space="0" w:color="auto"/>
            <w:right w:val="none" w:sz="0" w:space="0" w:color="auto"/>
          </w:divBdr>
        </w:div>
        <w:div w:id="610746143">
          <w:marLeft w:val="547"/>
          <w:marRight w:val="0"/>
          <w:marTop w:val="134"/>
          <w:marBottom w:val="0"/>
          <w:divBdr>
            <w:top w:val="none" w:sz="0" w:space="0" w:color="auto"/>
            <w:left w:val="none" w:sz="0" w:space="0" w:color="auto"/>
            <w:bottom w:val="none" w:sz="0" w:space="0" w:color="auto"/>
            <w:right w:val="none" w:sz="0" w:space="0" w:color="auto"/>
          </w:divBdr>
        </w:div>
      </w:divsChild>
    </w:div>
    <w:div w:id="956302372">
      <w:bodyDiv w:val="1"/>
      <w:marLeft w:val="0"/>
      <w:marRight w:val="0"/>
      <w:marTop w:val="0"/>
      <w:marBottom w:val="0"/>
      <w:divBdr>
        <w:top w:val="none" w:sz="0" w:space="0" w:color="auto"/>
        <w:left w:val="none" w:sz="0" w:space="0" w:color="auto"/>
        <w:bottom w:val="none" w:sz="0" w:space="0" w:color="auto"/>
        <w:right w:val="none" w:sz="0" w:space="0" w:color="auto"/>
      </w:divBdr>
      <w:divsChild>
        <w:div w:id="30620491">
          <w:marLeft w:val="547"/>
          <w:marRight w:val="0"/>
          <w:marTop w:val="134"/>
          <w:marBottom w:val="0"/>
          <w:divBdr>
            <w:top w:val="none" w:sz="0" w:space="0" w:color="auto"/>
            <w:left w:val="none" w:sz="0" w:space="0" w:color="auto"/>
            <w:bottom w:val="none" w:sz="0" w:space="0" w:color="auto"/>
            <w:right w:val="none" w:sz="0" w:space="0" w:color="auto"/>
          </w:divBdr>
        </w:div>
      </w:divsChild>
    </w:div>
    <w:div w:id="1016690546">
      <w:bodyDiv w:val="1"/>
      <w:marLeft w:val="0"/>
      <w:marRight w:val="0"/>
      <w:marTop w:val="0"/>
      <w:marBottom w:val="0"/>
      <w:divBdr>
        <w:top w:val="none" w:sz="0" w:space="0" w:color="auto"/>
        <w:left w:val="none" w:sz="0" w:space="0" w:color="auto"/>
        <w:bottom w:val="none" w:sz="0" w:space="0" w:color="auto"/>
        <w:right w:val="none" w:sz="0" w:space="0" w:color="auto"/>
      </w:divBdr>
    </w:div>
    <w:div w:id="1052464283">
      <w:bodyDiv w:val="1"/>
      <w:marLeft w:val="0"/>
      <w:marRight w:val="0"/>
      <w:marTop w:val="0"/>
      <w:marBottom w:val="0"/>
      <w:divBdr>
        <w:top w:val="none" w:sz="0" w:space="0" w:color="auto"/>
        <w:left w:val="none" w:sz="0" w:space="0" w:color="auto"/>
        <w:bottom w:val="none" w:sz="0" w:space="0" w:color="auto"/>
        <w:right w:val="none" w:sz="0" w:space="0" w:color="auto"/>
      </w:divBdr>
      <w:divsChild>
        <w:div w:id="1998682869">
          <w:marLeft w:val="547"/>
          <w:marRight w:val="0"/>
          <w:marTop w:val="120"/>
          <w:marBottom w:val="0"/>
          <w:divBdr>
            <w:top w:val="none" w:sz="0" w:space="0" w:color="auto"/>
            <w:left w:val="none" w:sz="0" w:space="0" w:color="auto"/>
            <w:bottom w:val="none" w:sz="0" w:space="0" w:color="auto"/>
            <w:right w:val="none" w:sz="0" w:space="0" w:color="auto"/>
          </w:divBdr>
        </w:div>
      </w:divsChild>
    </w:div>
    <w:div w:id="1064445889">
      <w:bodyDiv w:val="1"/>
      <w:marLeft w:val="0"/>
      <w:marRight w:val="0"/>
      <w:marTop w:val="0"/>
      <w:marBottom w:val="0"/>
      <w:divBdr>
        <w:top w:val="none" w:sz="0" w:space="0" w:color="auto"/>
        <w:left w:val="none" w:sz="0" w:space="0" w:color="auto"/>
        <w:bottom w:val="none" w:sz="0" w:space="0" w:color="auto"/>
        <w:right w:val="none" w:sz="0" w:space="0" w:color="auto"/>
      </w:divBdr>
    </w:div>
    <w:div w:id="1101605412">
      <w:bodyDiv w:val="1"/>
      <w:marLeft w:val="0"/>
      <w:marRight w:val="0"/>
      <w:marTop w:val="0"/>
      <w:marBottom w:val="0"/>
      <w:divBdr>
        <w:top w:val="none" w:sz="0" w:space="0" w:color="auto"/>
        <w:left w:val="none" w:sz="0" w:space="0" w:color="auto"/>
        <w:bottom w:val="none" w:sz="0" w:space="0" w:color="auto"/>
        <w:right w:val="none" w:sz="0" w:space="0" w:color="auto"/>
      </w:divBdr>
    </w:div>
    <w:div w:id="1138186666">
      <w:bodyDiv w:val="1"/>
      <w:marLeft w:val="0"/>
      <w:marRight w:val="0"/>
      <w:marTop w:val="0"/>
      <w:marBottom w:val="0"/>
      <w:divBdr>
        <w:top w:val="none" w:sz="0" w:space="0" w:color="auto"/>
        <w:left w:val="none" w:sz="0" w:space="0" w:color="auto"/>
        <w:bottom w:val="none" w:sz="0" w:space="0" w:color="auto"/>
        <w:right w:val="none" w:sz="0" w:space="0" w:color="auto"/>
      </w:divBdr>
    </w:div>
    <w:div w:id="1193959399">
      <w:bodyDiv w:val="1"/>
      <w:marLeft w:val="0"/>
      <w:marRight w:val="0"/>
      <w:marTop w:val="0"/>
      <w:marBottom w:val="0"/>
      <w:divBdr>
        <w:top w:val="none" w:sz="0" w:space="0" w:color="auto"/>
        <w:left w:val="none" w:sz="0" w:space="0" w:color="auto"/>
        <w:bottom w:val="none" w:sz="0" w:space="0" w:color="auto"/>
        <w:right w:val="none" w:sz="0" w:space="0" w:color="auto"/>
      </w:divBdr>
      <w:divsChild>
        <w:div w:id="1550917674">
          <w:marLeft w:val="547"/>
          <w:marRight w:val="0"/>
          <w:marTop w:val="96"/>
          <w:marBottom w:val="0"/>
          <w:divBdr>
            <w:top w:val="none" w:sz="0" w:space="0" w:color="auto"/>
            <w:left w:val="none" w:sz="0" w:space="0" w:color="auto"/>
            <w:bottom w:val="none" w:sz="0" w:space="0" w:color="auto"/>
            <w:right w:val="none" w:sz="0" w:space="0" w:color="auto"/>
          </w:divBdr>
        </w:div>
        <w:div w:id="551117097">
          <w:marLeft w:val="547"/>
          <w:marRight w:val="0"/>
          <w:marTop w:val="96"/>
          <w:marBottom w:val="0"/>
          <w:divBdr>
            <w:top w:val="none" w:sz="0" w:space="0" w:color="auto"/>
            <w:left w:val="none" w:sz="0" w:space="0" w:color="auto"/>
            <w:bottom w:val="none" w:sz="0" w:space="0" w:color="auto"/>
            <w:right w:val="none" w:sz="0" w:space="0" w:color="auto"/>
          </w:divBdr>
        </w:div>
        <w:div w:id="364718905">
          <w:marLeft w:val="547"/>
          <w:marRight w:val="0"/>
          <w:marTop w:val="96"/>
          <w:marBottom w:val="0"/>
          <w:divBdr>
            <w:top w:val="none" w:sz="0" w:space="0" w:color="auto"/>
            <w:left w:val="none" w:sz="0" w:space="0" w:color="auto"/>
            <w:bottom w:val="none" w:sz="0" w:space="0" w:color="auto"/>
            <w:right w:val="none" w:sz="0" w:space="0" w:color="auto"/>
          </w:divBdr>
        </w:div>
      </w:divsChild>
    </w:div>
    <w:div w:id="1196046350">
      <w:bodyDiv w:val="1"/>
      <w:marLeft w:val="0"/>
      <w:marRight w:val="0"/>
      <w:marTop w:val="0"/>
      <w:marBottom w:val="0"/>
      <w:divBdr>
        <w:top w:val="none" w:sz="0" w:space="0" w:color="auto"/>
        <w:left w:val="none" w:sz="0" w:space="0" w:color="auto"/>
        <w:bottom w:val="none" w:sz="0" w:space="0" w:color="auto"/>
        <w:right w:val="none" w:sz="0" w:space="0" w:color="auto"/>
      </w:divBdr>
      <w:divsChild>
        <w:div w:id="1664427916">
          <w:marLeft w:val="547"/>
          <w:marRight w:val="0"/>
          <w:marTop w:val="134"/>
          <w:marBottom w:val="0"/>
          <w:divBdr>
            <w:top w:val="none" w:sz="0" w:space="0" w:color="auto"/>
            <w:left w:val="none" w:sz="0" w:space="0" w:color="auto"/>
            <w:bottom w:val="none" w:sz="0" w:space="0" w:color="auto"/>
            <w:right w:val="none" w:sz="0" w:space="0" w:color="auto"/>
          </w:divBdr>
        </w:div>
      </w:divsChild>
    </w:div>
    <w:div w:id="1197154832">
      <w:bodyDiv w:val="1"/>
      <w:marLeft w:val="0"/>
      <w:marRight w:val="0"/>
      <w:marTop w:val="0"/>
      <w:marBottom w:val="0"/>
      <w:divBdr>
        <w:top w:val="none" w:sz="0" w:space="0" w:color="auto"/>
        <w:left w:val="none" w:sz="0" w:space="0" w:color="auto"/>
        <w:bottom w:val="none" w:sz="0" w:space="0" w:color="auto"/>
        <w:right w:val="none" w:sz="0" w:space="0" w:color="auto"/>
      </w:divBdr>
      <w:divsChild>
        <w:div w:id="47192661">
          <w:marLeft w:val="547"/>
          <w:marRight w:val="0"/>
          <w:marTop w:val="125"/>
          <w:marBottom w:val="0"/>
          <w:divBdr>
            <w:top w:val="none" w:sz="0" w:space="0" w:color="auto"/>
            <w:left w:val="none" w:sz="0" w:space="0" w:color="auto"/>
            <w:bottom w:val="none" w:sz="0" w:space="0" w:color="auto"/>
            <w:right w:val="none" w:sz="0" w:space="0" w:color="auto"/>
          </w:divBdr>
        </w:div>
      </w:divsChild>
    </w:div>
    <w:div w:id="1214192918">
      <w:bodyDiv w:val="1"/>
      <w:marLeft w:val="0"/>
      <w:marRight w:val="0"/>
      <w:marTop w:val="0"/>
      <w:marBottom w:val="0"/>
      <w:divBdr>
        <w:top w:val="none" w:sz="0" w:space="0" w:color="auto"/>
        <w:left w:val="none" w:sz="0" w:space="0" w:color="auto"/>
        <w:bottom w:val="none" w:sz="0" w:space="0" w:color="auto"/>
        <w:right w:val="none" w:sz="0" w:space="0" w:color="auto"/>
      </w:divBdr>
    </w:div>
    <w:div w:id="1216507624">
      <w:bodyDiv w:val="1"/>
      <w:marLeft w:val="0"/>
      <w:marRight w:val="0"/>
      <w:marTop w:val="0"/>
      <w:marBottom w:val="0"/>
      <w:divBdr>
        <w:top w:val="none" w:sz="0" w:space="0" w:color="auto"/>
        <w:left w:val="none" w:sz="0" w:space="0" w:color="auto"/>
        <w:bottom w:val="none" w:sz="0" w:space="0" w:color="auto"/>
        <w:right w:val="none" w:sz="0" w:space="0" w:color="auto"/>
      </w:divBdr>
    </w:div>
    <w:div w:id="1235355237">
      <w:bodyDiv w:val="1"/>
      <w:marLeft w:val="0"/>
      <w:marRight w:val="0"/>
      <w:marTop w:val="0"/>
      <w:marBottom w:val="0"/>
      <w:divBdr>
        <w:top w:val="none" w:sz="0" w:space="0" w:color="auto"/>
        <w:left w:val="none" w:sz="0" w:space="0" w:color="auto"/>
        <w:bottom w:val="none" w:sz="0" w:space="0" w:color="auto"/>
        <w:right w:val="none" w:sz="0" w:space="0" w:color="auto"/>
      </w:divBdr>
      <w:divsChild>
        <w:div w:id="719287039">
          <w:marLeft w:val="547"/>
          <w:marRight w:val="0"/>
          <w:marTop w:val="134"/>
          <w:marBottom w:val="0"/>
          <w:divBdr>
            <w:top w:val="none" w:sz="0" w:space="0" w:color="auto"/>
            <w:left w:val="none" w:sz="0" w:space="0" w:color="auto"/>
            <w:bottom w:val="none" w:sz="0" w:space="0" w:color="auto"/>
            <w:right w:val="none" w:sz="0" w:space="0" w:color="auto"/>
          </w:divBdr>
        </w:div>
      </w:divsChild>
    </w:div>
    <w:div w:id="1237521612">
      <w:bodyDiv w:val="1"/>
      <w:marLeft w:val="0"/>
      <w:marRight w:val="0"/>
      <w:marTop w:val="0"/>
      <w:marBottom w:val="0"/>
      <w:divBdr>
        <w:top w:val="none" w:sz="0" w:space="0" w:color="auto"/>
        <w:left w:val="none" w:sz="0" w:space="0" w:color="auto"/>
        <w:bottom w:val="none" w:sz="0" w:space="0" w:color="auto"/>
        <w:right w:val="none" w:sz="0" w:space="0" w:color="auto"/>
      </w:divBdr>
    </w:div>
    <w:div w:id="1237783986">
      <w:bodyDiv w:val="1"/>
      <w:marLeft w:val="0"/>
      <w:marRight w:val="0"/>
      <w:marTop w:val="0"/>
      <w:marBottom w:val="0"/>
      <w:divBdr>
        <w:top w:val="none" w:sz="0" w:space="0" w:color="auto"/>
        <w:left w:val="none" w:sz="0" w:space="0" w:color="auto"/>
        <w:bottom w:val="none" w:sz="0" w:space="0" w:color="auto"/>
        <w:right w:val="none" w:sz="0" w:space="0" w:color="auto"/>
      </w:divBdr>
    </w:div>
    <w:div w:id="1251157553">
      <w:bodyDiv w:val="1"/>
      <w:marLeft w:val="0"/>
      <w:marRight w:val="0"/>
      <w:marTop w:val="0"/>
      <w:marBottom w:val="0"/>
      <w:divBdr>
        <w:top w:val="none" w:sz="0" w:space="0" w:color="auto"/>
        <w:left w:val="none" w:sz="0" w:space="0" w:color="auto"/>
        <w:bottom w:val="none" w:sz="0" w:space="0" w:color="auto"/>
        <w:right w:val="none" w:sz="0" w:space="0" w:color="auto"/>
      </w:divBdr>
    </w:div>
    <w:div w:id="1255630326">
      <w:bodyDiv w:val="1"/>
      <w:marLeft w:val="0"/>
      <w:marRight w:val="0"/>
      <w:marTop w:val="0"/>
      <w:marBottom w:val="0"/>
      <w:divBdr>
        <w:top w:val="none" w:sz="0" w:space="0" w:color="auto"/>
        <w:left w:val="none" w:sz="0" w:space="0" w:color="auto"/>
        <w:bottom w:val="none" w:sz="0" w:space="0" w:color="auto"/>
        <w:right w:val="none" w:sz="0" w:space="0" w:color="auto"/>
      </w:divBdr>
    </w:div>
    <w:div w:id="1287156834">
      <w:bodyDiv w:val="1"/>
      <w:marLeft w:val="0"/>
      <w:marRight w:val="0"/>
      <w:marTop w:val="0"/>
      <w:marBottom w:val="0"/>
      <w:divBdr>
        <w:top w:val="none" w:sz="0" w:space="0" w:color="auto"/>
        <w:left w:val="none" w:sz="0" w:space="0" w:color="auto"/>
        <w:bottom w:val="none" w:sz="0" w:space="0" w:color="auto"/>
        <w:right w:val="none" w:sz="0" w:space="0" w:color="auto"/>
      </w:divBdr>
    </w:div>
    <w:div w:id="1308824505">
      <w:bodyDiv w:val="1"/>
      <w:marLeft w:val="0"/>
      <w:marRight w:val="0"/>
      <w:marTop w:val="0"/>
      <w:marBottom w:val="0"/>
      <w:divBdr>
        <w:top w:val="none" w:sz="0" w:space="0" w:color="auto"/>
        <w:left w:val="none" w:sz="0" w:space="0" w:color="auto"/>
        <w:bottom w:val="none" w:sz="0" w:space="0" w:color="auto"/>
        <w:right w:val="none" w:sz="0" w:space="0" w:color="auto"/>
      </w:divBdr>
    </w:div>
    <w:div w:id="1347946169">
      <w:bodyDiv w:val="1"/>
      <w:marLeft w:val="0"/>
      <w:marRight w:val="0"/>
      <w:marTop w:val="0"/>
      <w:marBottom w:val="0"/>
      <w:divBdr>
        <w:top w:val="none" w:sz="0" w:space="0" w:color="auto"/>
        <w:left w:val="none" w:sz="0" w:space="0" w:color="auto"/>
        <w:bottom w:val="none" w:sz="0" w:space="0" w:color="auto"/>
        <w:right w:val="none" w:sz="0" w:space="0" w:color="auto"/>
      </w:divBdr>
    </w:div>
    <w:div w:id="1389263580">
      <w:bodyDiv w:val="1"/>
      <w:marLeft w:val="0"/>
      <w:marRight w:val="0"/>
      <w:marTop w:val="0"/>
      <w:marBottom w:val="0"/>
      <w:divBdr>
        <w:top w:val="none" w:sz="0" w:space="0" w:color="auto"/>
        <w:left w:val="none" w:sz="0" w:space="0" w:color="auto"/>
        <w:bottom w:val="none" w:sz="0" w:space="0" w:color="auto"/>
        <w:right w:val="none" w:sz="0" w:space="0" w:color="auto"/>
      </w:divBdr>
    </w:div>
    <w:div w:id="1412239295">
      <w:bodyDiv w:val="1"/>
      <w:marLeft w:val="0"/>
      <w:marRight w:val="0"/>
      <w:marTop w:val="0"/>
      <w:marBottom w:val="0"/>
      <w:divBdr>
        <w:top w:val="none" w:sz="0" w:space="0" w:color="auto"/>
        <w:left w:val="none" w:sz="0" w:space="0" w:color="auto"/>
        <w:bottom w:val="none" w:sz="0" w:space="0" w:color="auto"/>
        <w:right w:val="none" w:sz="0" w:space="0" w:color="auto"/>
      </w:divBdr>
    </w:div>
    <w:div w:id="1416779627">
      <w:bodyDiv w:val="1"/>
      <w:marLeft w:val="0"/>
      <w:marRight w:val="0"/>
      <w:marTop w:val="0"/>
      <w:marBottom w:val="0"/>
      <w:divBdr>
        <w:top w:val="none" w:sz="0" w:space="0" w:color="auto"/>
        <w:left w:val="none" w:sz="0" w:space="0" w:color="auto"/>
        <w:bottom w:val="none" w:sz="0" w:space="0" w:color="auto"/>
        <w:right w:val="none" w:sz="0" w:space="0" w:color="auto"/>
      </w:divBdr>
      <w:divsChild>
        <w:div w:id="136998147">
          <w:marLeft w:val="547"/>
          <w:marRight w:val="0"/>
          <w:marTop w:val="115"/>
          <w:marBottom w:val="0"/>
          <w:divBdr>
            <w:top w:val="none" w:sz="0" w:space="0" w:color="auto"/>
            <w:left w:val="none" w:sz="0" w:space="0" w:color="auto"/>
            <w:bottom w:val="none" w:sz="0" w:space="0" w:color="auto"/>
            <w:right w:val="none" w:sz="0" w:space="0" w:color="auto"/>
          </w:divBdr>
        </w:div>
        <w:div w:id="1023558366">
          <w:marLeft w:val="547"/>
          <w:marRight w:val="0"/>
          <w:marTop w:val="115"/>
          <w:marBottom w:val="0"/>
          <w:divBdr>
            <w:top w:val="none" w:sz="0" w:space="0" w:color="auto"/>
            <w:left w:val="none" w:sz="0" w:space="0" w:color="auto"/>
            <w:bottom w:val="none" w:sz="0" w:space="0" w:color="auto"/>
            <w:right w:val="none" w:sz="0" w:space="0" w:color="auto"/>
          </w:divBdr>
        </w:div>
      </w:divsChild>
    </w:div>
    <w:div w:id="1425759668">
      <w:bodyDiv w:val="1"/>
      <w:marLeft w:val="0"/>
      <w:marRight w:val="0"/>
      <w:marTop w:val="0"/>
      <w:marBottom w:val="0"/>
      <w:divBdr>
        <w:top w:val="none" w:sz="0" w:space="0" w:color="auto"/>
        <w:left w:val="none" w:sz="0" w:space="0" w:color="auto"/>
        <w:bottom w:val="none" w:sz="0" w:space="0" w:color="auto"/>
        <w:right w:val="none" w:sz="0" w:space="0" w:color="auto"/>
      </w:divBdr>
    </w:div>
    <w:div w:id="1481536905">
      <w:bodyDiv w:val="1"/>
      <w:marLeft w:val="0"/>
      <w:marRight w:val="0"/>
      <w:marTop w:val="0"/>
      <w:marBottom w:val="0"/>
      <w:divBdr>
        <w:top w:val="none" w:sz="0" w:space="0" w:color="auto"/>
        <w:left w:val="none" w:sz="0" w:space="0" w:color="auto"/>
        <w:bottom w:val="none" w:sz="0" w:space="0" w:color="auto"/>
        <w:right w:val="none" w:sz="0" w:space="0" w:color="auto"/>
      </w:divBdr>
    </w:div>
    <w:div w:id="1487673716">
      <w:bodyDiv w:val="1"/>
      <w:marLeft w:val="0"/>
      <w:marRight w:val="0"/>
      <w:marTop w:val="0"/>
      <w:marBottom w:val="0"/>
      <w:divBdr>
        <w:top w:val="none" w:sz="0" w:space="0" w:color="auto"/>
        <w:left w:val="none" w:sz="0" w:space="0" w:color="auto"/>
        <w:bottom w:val="none" w:sz="0" w:space="0" w:color="auto"/>
        <w:right w:val="none" w:sz="0" w:space="0" w:color="auto"/>
      </w:divBdr>
    </w:div>
    <w:div w:id="1494905025">
      <w:bodyDiv w:val="1"/>
      <w:marLeft w:val="0"/>
      <w:marRight w:val="0"/>
      <w:marTop w:val="0"/>
      <w:marBottom w:val="0"/>
      <w:divBdr>
        <w:top w:val="none" w:sz="0" w:space="0" w:color="auto"/>
        <w:left w:val="none" w:sz="0" w:space="0" w:color="auto"/>
        <w:bottom w:val="none" w:sz="0" w:space="0" w:color="auto"/>
        <w:right w:val="none" w:sz="0" w:space="0" w:color="auto"/>
      </w:divBdr>
    </w:div>
    <w:div w:id="1651212026">
      <w:bodyDiv w:val="1"/>
      <w:marLeft w:val="0"/>
      <w:marRight w:val="0"/>
      <w:marTop w:val="0"/>
      <w:marBottom w:val="0"/>
      <w:divBdr>
        <w:top w:val="none" w:sz="0" w:space="0" w:color="auto"/>
        <w:left w:val="none" w:sz="0" w:space="0" w:color="auto"/>
        <w:bottom w:val="none" w:sz="0" w:space="0" w:color="auto"/>
        <w:right w:val="none" w:sz="0" w:space="0" w:color="auto"/>
      </w:divBdr>
      <w:divsChild>
        <w:div w:id="849878113">
          <w:marLeft w:val="547"/>
          <w:marRight w:val="0"/>
          <w:marTop w:val="82"/>
          <w:marBottom w:val="0"/>
          <w:divBdr>
            <w:top w:val="none" w:sz="0" w:space="0" w:color="auto"/>
            <w:left w:val="none" w:sz="0" w:space="0" w:color="auto"/>
            <w:bottom w:val="none" w:sz="0" w:space="0" w:color="auto"/>
            <w:right w:val="none" w:sz="0" w:space="0" w:color="auto"/>
          </w:divBdr>
        </w:div>
        <w:div w:id="295069818">
          <w:marLeft w:val="547"/>
          <w:marRight w:val="0"/>
          <w:marTop w:val="82"/>
          <w:marBottom w:val="0"/>
          <w:divBdr>
            <w:top w:val="none" w:sz="0" w:space="0" w:color="auto"/>
            <w:left w:val="none" w:sz="0" w:space="0" w:color="auto"/>
            <w:bottom w:val="none" w:sz="0" w:space="0" w:color="auto"/>
            <w:right w:val="none" w:sz="0" w:space="0" w:color="auto"/>
          </w:divBdr>
        </w:div>
        <w:div w:id="1027606554">
          <w:marLeft w:val="547"/>
          <w:marRight w:val="0"/>
          <w:marTop w:val="82"/>
          <w:marBottom w:val="0"/>
          <w:divBdr>
            <w:top w:val="none" w:sz="0" w:space="0" w:color="auto"/>
            <w:left w:val="none" w:sz="0" w:space="0" w:color="auto"/>
            <w:bottom w:val="none" w:sz="0" w:space="0" w:color="auto"/>
            <w:right w:val="none" w:sz="0" w:space="0" w:color="auto"/>
          </w:divBdr>
        </w:div>
      </w:divsChild>
    </w:div>
    <w:div w:id="1667438273">
      <w:bodyDiv w:val="1"/>
      <w:marLeft w:val="0"/>
      <w:marRight w:val="0"/>
      <w:marTop w:val="0"/>
      <w:marBottom w:val="0"/>
      <w:divBdr>
        <w:top w:val="none" w:sz="0" w:space="0" w:color="auto"/>
        <w:left w:val="none" w:sz="0" w:space="0" w:color="auto"/>
        <w:bottom w:val="none" w:sz="0" w:space="0" w:color="auto"/>
        <w:right w:val="none" w:sz="0" w:space="0" w:color="auto"/>
      </w:divBdr>
    </w:div>
    <w:div w:id="1669750572">
      <w:bodyDiv w:val="1"/>
      <w:marLeft w:val="0"/>
      <w:marRight w:val="0"/>
      <w:marTop w:val="0"/>
      <w:marBottom w:val="0"/>
      <w:divBdr>
        <w:top w:val="none" w:sz="0" w:space="0" w:color="auto"/>
        <w:left w:val="none" w:sz="0" w:space="0" w:color="auto"/>
        <w:bottom w:val="none" w:sz="0" w:space="0" w:color="auto"/>
        <w:right w:val="none" w:sz="0" w:space="0" w:color="auto"/>
      </w:divBdr>
    </w:div>
    <w:div w:id="1706518259">
      <w:bodyDiv w:val="1"/>
      <w:marLeft w:val="0"/>
      <w:marRight w:val="0"/>
      <w:marTop w:val="0"/>
      <w:marBottom w:val="0"/>
      <w:divBdr>
        <w:top w:val="none" w:sz="0" w:space="0" w:color="auto"/>
        <w:left w:val="none" w:sz="0" w:space="0" w:color="auto"/>
        <w:bottom w:val="none" w:sz="0" w:space="0" w:color="auto"/>
        <w:right w:val="none" w:sz="0" w:space="0" w:color="auto"/>
      </w:divBdr>
    </w:div>
    <w:div w:id="1709643117">
      <w:bodyDiv w:val="1"/>
      <w:marLeft w:val="0"/>
      <w:marRight w:val="0"/>
      <w:marTop w:val="0"/>
      <w:marBottom w:val="0"/>
      <w:divBdr>
        <w:top w:val="none" w:sz="0" w:space="0" w:color="auto"/>
        <w:left w:val="none" w:sz="0" w:space="0" w:color="auto"/>
        <w:bottom w:val="none" w:sz="0" w:space="0" w:color="auto"/>
        <w:right w:val="none" w:sz="0" w:space="0" w:color="auto"/>
      </w:divBdr>
    </w:div>
    <w:div w:id="1721125597">
      <w:bodyDiv w:val="1"/>
      <w:marLeft w:val="0"/>
      <w:marRight w:val="0"/>
      <w:marTop w:val="0"/>
      <w:marBottom w:val="0"/>
      <w:divBdr>
        <w:top w:val="none" w:sz="0" w:space="0" w:color="auto"/>
        <w:left w:val="none" w:sz="0" w:space="0" w:color="auto"/>
        <w:bottom w:val="none" w:sz="0" w:space="0" w:color="auto"/>
        <w:right w:val="none" w:sz="0" w:space="0" w:color="auto"/>
      </w:divBdr>
      <w:divsChild>
        <w:div w:id="493033022">
          <w:marLeft w:val="547"/>
          <w:marRight w:val="0"/>
          <w:marTop w:val="86"/>
          <w:marBottom w:val="0"/>
          <w:divBdr>
            <w:top w:val="none" w:sz="0" w:space="0" w:color="auto"/>
            <w:left w:val="none" w:sz="0" w:space="0" w:color="auto"/>
            <w:bottom w:val="none" w:sz="0" w:space="0" w:color="auto"/>
            <w:right w:val="none" w:sz="0" w:space="0" w:color="auto"/>
          </w:divBdr>
        </w:div>
      </w:divsChild>
    </w:div>
    <w:div w:id="1727143725">
      <w:bodyDiv w:val="1"/>
      <w:marLeft w:val="0"/>
      <w:marRight w:val="0"/>
      <w:marTop w:val="0"/>
      <w:marBottom w:val="0"/>
      <w:divBdr>
        <w:top w:val="none" w:sz="0" w:space="0" w:color="auto"/>
        <w:left w:val="none" w:sz="0" w:space="0" w:color="auto"/>
        <w:bottom w:val="none" w:sz="0" w:space="0" w:color="auto"/>
        <w:right w:val="none" w:sz="0" w:space="0" w:color="auto"/>
      </w:divBdr>
      <w:divsChild>
        <w:div w:id="17004211">
          <w:marLeft w:val="547"/>
          <w:marRight w:val="0"/>
          <w:marTop w:val="96"/>
          <w:marBottom w:val="0"/>
          <w:divBdr>
            <w:top w:val="none" w:sz="0" w:space="0" w:color="auto"/>
            <w:left w:val="none" w:sz="0" w:space="0" w:color="auto"/>
            <w:bottom w:val="none" w:sz="0" w:space="0" w:color="auto"/>
            <w:right w:val="none" w:sz="0" w:space="0" w:color="auto"/>
          </w:divBdr>
        </w:div>
      </w:divsChild>
    </w:div>
    <w:div w:id="1749306291">
      <w:bodyDiv w:val="1"/>
      <w:marLeft w:val="0"/>
      <w:marRight w:val="0"/>
      <w:marTop w:val="0"/>
      <w:marBottom w:val="0"/>
      <w:divBdr>
        <w:top w:val="none" w:sz="0" w:space="0" w:color="auto"/>
        <w:left w:val="none" w:sz="0" w:space="0" w:color="auto"/>
        <w:bottom w:val="none" w:sz="0" w:space="0" w:color="auto"/>
        <w:right w:val="none" w:sz="0" w:space="0" w:color="auto"/>
      </w:divBdr>
    </w:div>
    <w:div w:id="1752701362">
      <w:bodyDiv w:val="1"/>
      <w:marLeft w:val="0"/>
      <w:marRight w:val="0"/>
      <w:marTop w:val="0"/>
      <w:marBottom w:val="0"/>
      <w:divBdr>
        <w:top w:val="none" w:sz="0" w:space="0" w:color="auto"/>
        <w:left w:val="none" w:sz="0" w:space="0" w:color="auto"/>
        <w:bottom w:val="none" w:sz="0" w:space="0" w:color="auto"/>
        <w:right w:val="none" w:sz="0" w:space="0" w:color="auto"/>
      </w:divBdr>
      <w:divsChild>
        <w:div w:id="69927851">
          <w:marLeft w:val="547"/>
          <w:marRight w:val="0"/>
          <w:marTop w:val="134"/>
          <w:marBottom w:val="0"/>
          <w:divBdr>
            <w:top w:val="none" w:sz="0" w:space="0" w:color="auto"/>
            <w:left w:val="none" w:sz="0" w:space="0" w:color="auto"/>
            <w:bottom w:val="none" w:sz="0" w:space="0" w:color="auto"/>
            <w:right w:val="none" w:sz="0" w:space="0" w:color="auto"/>
          </w:divBdr>
        </w:div>
        <w:div w:id="1813137896">
          <w:marLeft w:val="547"/>
          <w:marRight w:val="0"/>
          <w:marTop w:val="134"/>
          <w:marBottom w:val="0"/>
          <w:divBdr>
            <w:top w:val="none" w:sz="0" w:space="0" w:color="auto"/>
            <w:left w:val="none" w:sz="0" w:space="0" w:color="auto"/>
            <w:bottom w:val="none" w:sz="0" w:space="0" w:color="auto"/>
            <w:right w:val="none" w:sz="0" w:space="0" w:color="auto"/>
          </w:divBdr>
        </w:div>
      </w:divsChild>
    </w:div>
    <w:div w:id="1759594624">
      <w:bodyDiv w:val="1"/>
      <w:marLeft w:val="0"/>
      <w:marRight w:val="0"/>
      <w:marTop w:val="0"/>
      <w:marBottom w:val="0"/>
      <w:divBdr>
        <w:top w:val="none" w:sz="0" w:space="0" w:color="auto"/>
        <w:left w:val="none" w:sz="0" w:space="0" w:color="auto"/>
        <w:bottom w:val="none" w:sz="0" w:space="0" w:color="auto"/>
        <w:right w:val="none" w:sz="0" w:space="0" w:color="auto"/>
      </w:divBdr>
      <w:divsChild>
        <w:div w:id="1499493911">
          <w:marLeft w:val="547"/>
          <w:marRight w:val="0"/>
          <w:marTop w:val="96"/>
          <w:marBottom w:val="0"/>
          <w:divBdr>
            <w:top w:val="none" w:sz="0" w:space="0" w:color="auto"/>
            <w:left w:val="none" w:sz="0" w:space="0" w:color="auto"/>
            <w:bottom w:val="none" w:sz="0" w:space="0" w:color="auto"/>
            <w:right w:val="none" w:sz="0" w:space="0" w:color="auto"/>
          </w:divBdr>
        </w:div>
      </w:divsChild>
    </w:div>
    <w:div w:id="1811703355">
      <w:bodyDiv w:val="1"/>
      <w:marLeft w:val="0"/>
      <w:marRight w:val="0"/>
      <w:marTop w:val="0"/>
      <w:marBottom w:val="0"/>
      <w:divBdr>
        <w:top w:val="none" w:sz="0" w:space="0" w:color="auto"/>
        <w:left w:val="none" w:sz="0" w:space="0" w:color="auto"/>
        <w:bottom w:val="none" w:sz="0" w:space="0" w:color="auto"/>
        <w:right w:val="none" w:sz="0" w:space="0" w:color="auto"/>
      </w:divBdr>
      <w:divsChild>
        <w:div w:id="447699683">
          <w:marLeft w:val="0"/>
          <w:marRight w:val="0"/>
          <w:marTop w:val="0"/>
          <w:marBottom w:val="0"/>
          <w:divBdr>
            <w:top w:val="none" w:sz="0" w:space="0" w:color="auto"/>
            <w:left w:val="none" w:sz="0" w:space="0" w:color="auto"/>
            <w:bottom w:val="none" w:sz="0" w:space="0" w:color="auto"/>
            <w:right w:val="none" w:sz="0" w:space="0" w:color="auto"/>
          </w:divBdr>
          <w:divsChild>
            <w:div w:id="344593850">
              <w:marLeft w:val="0"/>
              <w:marRight w:val="0"/>
              <w:marTop w:val="0"/>
              <w:marBottom w:val="0"/>
              <w:divBdr>
                <w:top w:val="none" w:sz="0" w:space="0" w:color="auto"/>
                <w:left w:val="none" w:sz="0" w:space="0" w:color="auto"/>
                <w:bottom w:val="none" w:sz="0" w:space="0" w:color="auto"/>
                <w:right w:val="none" w:sz="0" w:space="0" w:color="auto"/>
              </w:divBdr>
              <w:divsChild>
                <w:div w:id="82204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668258">
      <w:bodyDiv w:val="1"/>
      <w:marLeft w:val="0"/>
      <w:marRight w:val="0"/>
      <w:marTop w:val="0"/>
      <w:marBottom w:val="0"/>
      <w:divBdr>
        <w:top w:val="none" w:sz="0" w:space="0" w:color="auto"/>
        <w:left w:val="none" w:sz="0" w:space="0" w:color="auto"/>
        <w:bottom w:val="none" w:sz="0" w:space="0" w:color="auto"/>
        <w:right w:val="none" w:sz="0" w:space="0" w:color="auto"/>
      </w:divBdr>
    </w:div>
    <w:div w:id="1844200388">
      <w:bodyDiv w:val="1"/>
      <w:marLeft w:val="0"/>
      <w:marRight w:val="0"/>
      <w:marTop w:val="0"/>
      <w:marBottom w:val="0"/>
      <w:divBdr>
        <w:top w:val="none" w:sz="0" w:space="0" w:color="auto"/>
        <w:left w:val="none" w:sz="0" w:space="0" w:color="auto"/>
        <w:bottom w:val="none" w:sz="0" w:space="0" w:color="auto"/>
        <w:right w:val="none" w:sz="0" w:space="0" w:color="auto"/>
      </w:divBdr>
      <w:divsChild>
        <w:div w:id="850683085">
          <w:marLeft w:val="547"/>
          <w:marRight w:val="0"/>
          <w:marTop w:val="82"/>
          <w:marBottom w:val="0"/>
          <w:divBdr>
            <w:top w:val="none" w:sz="0" w:space="0" w:color="auto"/>
            <w:left w:val="none" w:sz="0" w:space="0" w:color="auto"/>
            <w:bottom w:val="none" w:sz="0" w:space="0" w:color="auto"/>
            <w:right w:val="none" w:sz="0" w:space="0" w:color="auto"/>
          </w:divBdr>
        </w:div>
        <w:div w:id="1566838514">
          <w:marLeft w:val="547"/>
          <w:marRight w:val="0"/>
          <w:marTop w:val="82"/>
          <w:marBottom w:val="0"/>
          <w:divBdr>
            <w:top w:val="none" w:sz="0" w:space="0" w:color="auto"/>
            <w:left w:val="none" w:sz="0" w:space="0" w:color="auto"/>
            <w:bottom w:val="none" w:sz="0" w:space="0" w:color="auto"/>
            <w:right w:val="none" w:sz="0" w:space="0" w:color="auto"/>
          </w:divBdr>
        </w:div>
        <w:div w:id="1973972766">
          <w:marLeft w:val="547"/>
          <w:marRight w:val="0"/>
          <w:marTop w:val="82"/>
          <w:marBottom w:val="0"/>
          <w:divBdr>
            <w:top w:val="none" w:sz="0" w:space="0" w:color="auto"/>
            <w:left w:val="none" w:sz="0" w:space="0" w:color="auto"/>
            <w:bottom w:val="none" w:sz="0" w:space="0" w:color="auto"/>
            <w:right w:val="none" w:sz="0" w:space="0" w:color="auto"/>
          </w:divBdr>
        </w:div>
      </w:divsChild>
    </w:div>
    <w:div w:id="1858350609">
      <w:bodyDiv w:val="1"/>
      <w:marLeft w:val="0"/>
      <w:marRight w:val="0"/>
      <w:marTop w:val="0"/>
      <w:marBottom w:val="0"/>
      <w:divBdr>
        <w:top w:val="none" w:sz="0" w:space="0" w:color="auto"/>
        <w:left w:val="none" w:sz="0" w:space="0" w:color="auto"/>
        <w:bottom w:val="none" w:sz="0" w:space="0" w:color="auto"/>
        <w:right w:val="none" w:sz="0" w:space="0" w:color="auto"/>
      </w:divBdr>
    </w:div>
    <w:div w:id="1871259452">
      <w:bodyDiv w:val="1"/>
      <w:marLeft w:val="0"/>
      <w:marRight w:val="0"/>
      <w:marTop w:val="0"/>
      <w:marBottom w:val="0"/>
      <w:divBdr>
        <w:top w:val="none" w:sz="0" w:space="0" w:color="auto"/>
        <w:left w:val="none" w:sz="0" w:space="0" w:color="auto"/>
        <w:bottom w:val="none" w:sz="0" w:space="0" w:color="auto"/>
        <w:right w:val="none" w:sz="0" w:space="0" w:color="auto"/>
      </w:divBdr>
    </w:div>
    <w:div w:id="1894611862">
      <w:bodyDiv w:val="1"/>
      <w:marLeft w:val="0"/>
      <w:marRight w:val="0"/>
      <w:marTop w:val="0"/>
      <w:marBottom w:val="0"/>
      <w:divBdr>
        <w:top w:val="none" w:sz="0" w:space="0" w:color="auto"/>
        <w:left w:val="none" w:sz="0" w:space="0" w:color="auto"/>
        <w:bottom w:val="none" w:sz="0" w:space="0" w:color="auto"/>
        <w:right w:val="none" w:sz="0" w:space="0" w:color="auto"/>
      </w:divBdr>
      <w:divsChild>
        <w:div w:id="342440573">
          <w:marLeft w:val="547"/>
          <w:marRight w:val="0"/>
          <w:marTop w:val="115"/>
          <w:marBottom w:val="0"/>
          <w:divBdr>
            <w:top w:val="none" w:sz="0" w:space="0" w:color="auto"/>
            <w:left w:val="none" w:sz="0" w:space="0" w:color="auto"/>
            <w:bottom w:val="none" w:sz="0" w:space="0" w:color="auto"/>
            <w:right w:val="none" w:sz="0" w:space="0" w:color="auto"/>
          </w:divBdr>
        </w:div>
      </w:divsChild>
    </w:div>
    <w:div w:id="1911306476">
      <w:bodyDiv w:val="1"/>
      <w:marLeft w:val="0"/>
      <w:marRight w:val="0"/>
      <w:marTop w:val="0"/>
      <w:marBottom w:val="0"/>
      <w:divBdr>
        <w:top w:val="none" w:sz="0" w:space="0" w:color="auto"/>
        <w:left w:val="none" w:sz="0" w:space="0" w:color="auto"/>
        <w:bottom w:val="none" w:sz="0" w:space="0" w:color="auto"/>
        <w:right w:val="none" w:sz="0" w:space="0" w:color="auto"/>
      </w:divBdr>
      <w:divsChild>
        <w:div w:id="1215701464">
          <w:marLeft w:val="0"/>
          <w:marRight w:val="0"/>
          <w:marTop w:val="91"/>
          <w:marBottom w:val="0"/>
          <w:divBdr>
            <w:top w:val="none" w:sz="0" w:space="0" w:color="auto"/>
            <w:left w:val="none" w:sz="0" w:space="0" w:color="auto"/>
            <w:bottom w:val="none" w:sz="0" w:space="0" w:color="auto"/>
            <w:right w:val="none" w:sz="0" w:space="0" w:color="auto"/>
          </w:divBdr>
        </w:div>
      </w:divsChild>
    </w:div>
    <w:div w:id="1924102672">
      <w:bodyDiv w:val="1"/>
      <w:marLeft w:val="0"/>
      <w:marRight w:val="0"/>
      <w:marTop w:val="0"/>
      <w:marBottom w:val="0"/>
      <w:divBdr>
        <w:top w:val="none" w:sz="0" w:space="0" w:color="auto"/>
        <w:left w:val="none" w:sz="0" w:space="0" w:color="auto"/>
        <w:bottom w:val="none" w:sz="0" w:space="0" w:color="auto"/>
        <w:right w:val="none" w:sz="0" w:space="0" w:color="auto"/>
      </w:divBdr>
    </w:div>
    <w:div w:id="1985232603">
      <w:bodyDiv w:val="1"/>
      <w:marLeft w:val="0"/>
      <w:marRight w:val="0"/>
      <w:marTop w:val="0"/>
      <w:marBottom w:val="0"/>
      <w:divBdr>
        <w:top w:val="none" w:sz="0" w:space="0" w:color="auto"/>
        <w:left w:val="none" w:sz="0" w:space="0" w:color="auto"/>
        <w:bottom w:val="none" w:sz="0" w:space="0" w:color="auto"/>
        <w:right w:val="none" w:sz="0" w:space="0" w:color="auto"/>
      </w:divBdr>
      <w:divsChild>
        <w:div w:id="1976518247">
          <w:marLeft w:val="547"/>
          <w:marRight w:val="0"/>
          <w:marTop w:val="134"/>
          <w:marBottom w:val="0"/>
          <w:divBdr>
            <w:top w:val="none" w:sz="0" w:space="0" w:color="auto"/>
            <w:left w:val="none" w:sz="0" w:space="0" w:color="auto"/>
            <w:bottom w:val="none" w:sz="0" w:space="0" w:color="auto"/>
            <w:right w:val="none" w:sz="0" w:space="0" w:color="auto"/>
          </w:divBdr>
        </w:div>
      </w:divsChild>
    </w:div>
    <w:div w:id="2022730877">
      <w:bodyDiv w:val="1"/>
      <w:marLeft w:val="0"/>
      <w:marRight w:val="0"/>
      <w:marTop w:val="0"/>
      <w:marBottom w:val="0"/>
      <w:divBdr>
        <w:top w:val="none" w:sz="0" w:space="0" w:color="auto"/>
        <w:left w:val="none" w:sz="0" w:space="0" w:color="auto"/>
        <w:bottom w:val="none" w:sz="0" w:space="0" w:color="auto"/>
        <w:right w:val="none" w:sz="0" w:space="0" w:color="auto"/>
      </w:divBdr>
      <w:divsChild>
        <w:div w:id="410321193">
          <w:marLeft w:val="547"/>
          <w:marRight w:val="0"/>
          <w:marTop w:val="106"/>
          <w:marBottom w:val="0"/>
          <w:divBdr>
            <w:top w:val="none" w:sz="0" w:space="0" w:color="auto"/>
            <w:left w:val="none" w:sz="0" w:space="0" w:color="auto"/>
            <w:bottom w:val="none" w:sz="0" w:space="0" w:color="auto"/>
            <w:right w:val="none" w:sz="0" w:space="0" w:color="auto"/>
          </w:divBdr>
        </w:div>
      </w:divsChild>
    </w:div>
    <w:div w:id="2031833628">
      <w:bodyDiv w:val="1"/>
      <w:marLeft w:val="0"/>
      <w:marRight w:val="0"/>
      <w:marTop w:val="0"/>
      <w:marBottom w:val="0"/>
      <w:divBdr>
        <w:top w:val="none" w:sz="0" w:space="0" w:color="auto"/>
        <w:left w:val="none" w:sz="0" w:space="0" w:color="auto"/>
        <w:bottom w:val="none" w:sz="0" w:space="0" w:color="auto"/>
        <w:right w:val="none" w:sz="0" w:space="0" w:color="auto"/>
      </w:divBdr>
      <w:divsChild>
        <w:div w:id="1080636596">
          <w:marLeft w:val="547"/>
          <w:marRight w:val="0"/>
          <w:marTop w:val="134"/>
          <w:marBottom w:val="0"/>
          <w:divBdr>
            <w:top w:val="none" w:sz="0" w:space="0" w:color="auto"/>
            <w:left w:val="none" w:sz="0" w:space="0" w:color="auto"/>
            <w:bottom w:val="none" w:sz="0" w:space="0" w:color="auto"/>
            <w:right w:val="none" w:sz="0" w:space="0" w:color="auto"/>
          </w:divBdr>
        </w:div>
      </w:divsChild>
    </w:div>
    <w:div w:id="2054037612">
      <w:bodyDiv w:val="1"/>
      <w:marLeft w:val="0"/>
      <w:marRight w:val="0"/>
      <w:marTop w:val="0"/>
      <w:marBottom w:val="0"/>
      <w:divBdr>
        <w:top w:val="none" w:sz="0" w:space="0" w:color="auto"/>
        <w:left w:val="none" w:sz="0" w:space="0" w:color="auto"/>
        <w:bottom w:val="none" w:sz="0" w:space="0" w:color="auto"/>
        <w:right w:val="none" w:sz="0" w:space="0" w:color="auto"/>
      </w:divBdr>
      <w:divsChild>
        <w:div w:id="865093352">
          <w:marLeft w:val="0"/>
          <w:marRight w:val="0"/>
          <w:marTop w:val="91"/>
          <w:marBottom w:val="0"/>
          <w:divBdr>
            <w:top w:val="none" w:sz="0" w:space="0" w:color="auto"/>
            <w:left w:val="none" w:sz="0" w:space="0" w:color="auto"/>
            <w:bottom w:val="none" w:sz="0" w:space="0" w:color="auto"/>
            <w:right w:val="none" w:sz="0" w:space="0" w:color="auto"/>
          </w:divBdr>
        </w:div>
        <w:div w:id="1974483084">
          <w:marLeft w:val="0"/>
          <w:marRight w:val="0"/>
          <w:marTop w:val="91"/>
          <w:marBottom w:val="0"/>
          <w:divBdr>
            <w:top w:val="none" w:sz="0" w:space="0" w:color="auto"/>
            <w:left w:val="none" w:sz="0" w:space="0" w:color="auto"/>
            <w:bottom w:val="none" w:sz="0" w:space="0" w:color="auto"/>
            <w:right w:val="none" w:sz="0" w:space="0" w:color="auto"/>
          </w:divBdr>
        </w:div>
      </w:divsChild>
    </w:div>
    <w:div w:id="2098745097">
      <w:bodyDiv w:val="1"/>
      <w:marLeft w:val="0"/>
      <w:marRight w:val="0"/>
      <w:marTop w:val="0"/>
      <w:marBottom w:val="0"/>
      <w:divBdr>
        <w:top w:val="none" w:sz="0" w:space="0" w:color="auto"/>
        <w:left w:val="none" w:sz="0" w:space="0" w:color="auto"/>
        <w:bottom w:val="none" w:sz="0" w:space="0" w:color="auto"/>
        <w:right w:val="none" w:sz="0" w:space="0" w:color="auto"/>
      </w:divBdr>
      <w:divsChild>
        <w:div w:id="797142399">
          <w:marLeft w:val="547"/>
          <w:marRight w:val="0"/>
          <w:marTop w:val="115"/>
          <w:marBottom w:val="0"/>
          <w:divBdr>
            <w:top w:val="none" w:sz="0" w:space="0" w:color="auto"/>
            <w:left w:val="none" w:sz="0" w:space="0" w:color="auto"/>
            <w:bottom w:val="none" w:sz="0" w:space="0" w:color="auto"/>
            <w:right w:val="none" w:sz="0" w:space="0" w:color="auto"/>
          </w:divBdr>
        </w:div>
        <w:div w:id="1470631567">
          <w:marLeft w:val="547"/>
          <w:marRight w:val="0"/>
          <w:marTop w:val="115"/>
          <w:marBottom w:val="0"/>
          <w:divBdr>
            <w:top w:val="none" w:sz="0" w:space="0" w:color="auto"/>
            <w:left w:val="none" w:sz="0" w:space="0" w:color="auto"/>
            <w:bottom w:val="none" w:sz="0" w:space="0" w:color="auto"/>
            <w:right w:val="none" w:sz="0" w:space="0" w:color="auto"/>
          </w:divBdr>
        </w:div>
      </w:divsChild>
    </w:div>
    <w:div w:id="214450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1D57C-B408-41E9-94E0-D14BB474B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2527</Words>
  <Characters>14409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tsp</dc:creator>
  <cp:lastModifiedBy>aksm</cp:lastModifiedBy>
  <cp:revision>2</cp:revision>
  <cp:lastPrinted>2023-08-23T06:24:00Z</cp:lastPrinted>
  <dcterms:created xsi:type="dcterms:W3CDTF">2024-11-25T05:13:00Z</dcterms:created>
  <dcterms:modified xsi:type="dcterms:W3CDTF">2024-11-25T05:13:00Z</dcterms:modified>
</cp:coreProperties>
</file>